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FF19.040116 vom 30. Dezember 2019</w:t>
      </w:r>
    </w:p>
    <w:p>
      <w:r>
        <w:t>VD Tribunal cantonal, 2019-12-30, FR</w:t>
      </w:r>
    </w:p>
    <w:p>
      <w:r>
        <w:rPr>
          <w:b/>
        </w:rPr>
        <w:t xml:space="preserve">Quelle: </w:t>
      </w:r>
      <w:r>
        <w:t>https://mcp.opencaselaw.ch/entscheid/vd_gerichte_FF19.040116</w:t>
      </w:r>
    </w:p>
    <w:p>
      <w:r>
        <w:t>FR: VD_GERICHTE FF19.040116 du 30 décembre 2019</w:t>
      </w:r>
    </w:p>
    <w:p>
      <w:r>
        <w:t>IT: VD_GERICHTE FF19.040116 del 30 dicembre 2019</w:t>
      </w:r>
    </w:p>
    <w:p>
      <w:pPr>
        <w:pStyle w:val="Heading2"/>
      </w:pPr>
      <w:r>
        <w:t>Erwägungen</w:t>
      </w:r>
    </w:p>
    <w:p>
      <w:r>
        <w:rPr>
          <w:b/>
        </w:rPr>
        <w:t>E. 17</w:t>
      </w:r>
    </w:p>
    <w:p>
      <w:r>
        <w:t>décembre 2015 consid. 3.2.1 ; TF 5A_921/2014 du 11 mars 2015 consid. 3.1; Cometta, in Dallèves/Foêx/ Jeandin (éd.), Commentaire romand, Poursuite et faillite, n. 9 ad art. 174 LP ; Gilliéron, Commentaire de la loi fédérale sur la poursuite pour dettes et la faillite, n. 45 ad art. 174 LP). L'extrait du registre des poursuites concernant le failli est en règle générale décisif (TF 5A_251/2018 précité consid. 3.1 ; TF 5A_181/2018 précité consid. 3.1 ; TF 5A_126/2010 du 10 juin 2010 consid. 6.2 et la référence ; Cometta, op. cit., n. 10 ad art. 174 LP). S'il ne doit pas prouver</w:t>
      </w:r>
    </w:p>
    <w:p>
      <w:r>
        <w:t>- 8 - sa solvabilité de manière stricte, il incombe au débiteur d'offrir les moyens de preuve propres à rendre vraisemblable sa solvabilité (TF 5A_810/2015 du 17 décembre 2015 consid. 3.2.1 ; TF 5A_469/2012 du 22 août 2012 consid. 3.2 ; TF 5A_328/2011 du 11 août 2011 consid. 2 et les réf. cit., publié in SJ 2012 I p. 25 ; Message du Conseil fédéral, du 8 mai 1991, concernant la révision de la loi fédérale sur la poursuite pour dettes et la faillite, FF 1991 III p. 130 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 (TF 5A_251/2018 précité consid. 3.1 ; TF 5A_181/2018 précité consid. 3.1 ; TF 5A 93/2018 du 18 avril 2018 consid. 4.1 et réf. cit.). Le Tribunal fédéral a rappelé que la ratio legis consiste à éviter la faillite lorsque le manque de liquidités suffisantes n'apparaît que passager et que l'entreprise du débiteur semble en mesure de survivre économiquement (TF 5A_328/2011 du 11 août 2011 consid. 2, publié in SJ 2012 I p. 25). L'appréciation de la solvabilité repose sur une impression générale fondée sur les habitudes de paiement du failli (TF 5A_413/2014 du 20 juin 2014 consid. 4.1 ; TF 5A_642/2010 du 7 décembre 2010 consid. 2.4 ; TF 5A_350/2007 du 19 septembre 2007 consid. 4.3).</w:t>
      </w:r>
    </w:p>
    <w:p>
      <w:r>
        <w:t>- 9 - b) En l’espèce, la recourante n’a pas établi avoir payé, dans le délai de recours, l’entier de la créance en poursuite, intérêt et frais compris. Le fait qu’elle avait les fonds pour le faire, mais en a été prétendument empêchée du fait du prononcé de faillite et du refus d’octroi de l’effet suspensif à son recours, ne suffit pas pour considérer que la condition du paiement de la dette posée par l’art. 174 al. 2 ch. 1 LP est réalisée. En effet, la recourante avait la possibilité de pallier le blocage de ses comptes découlant du prononcé de faillite en prélevant, avec l’accord de l’office des faillites, le montant litigieux et en le déposant, dans le délai de recours, auprès de la cour de céans, réalisant ainsi l’hypothèse prévue par l’art. 174 al. 2 ch. 2 LP. Le recourant ne peut en outre rien tirer du fait que l’effet suspensif n’ait pas été accordé à son recours, dès lors que celui-ci a été déposé le dernier jour du délai prévu à cet effet et que le paiement devait intervenir avant cette échéance. La condition de l’art. 174 al. 2 ch. 1 LP étant cumulative à celle de la solvabilité, le recours doit être rejeté. Au demeurant, on relève que la recourante fait l’objet de treize poursuites pour un montant total de 80'235 fr. 45, dont celle de l’intimée au stade de la réquisition de faillite, une au stade de l’opposition, six au stade du commandement de payer sans opposition et cinq au stade de la continuation requise. Dix de ces poursuites ont trait à des créances de droit public, ce qui atteste que la recourante n’est plus à même de couvrir financièrement ses engagements publics. La liste des débiteurs produite été établie par le recourante elle-même et n’est étayée par aucune pièce comptable. Elle ne vaut donc que comme simple déclaration de partie. Le même raisonnement vaut pour la liste des créanciers, datée au surplus du</w:t>
      </w:r>
    </w:p>
    <w:p>
      <w:r>
        <w:rPr>
          <w:b/>
        </w:rPr>
        <w:t>E. 21</w:t>
      </w:r>
    </w:p>
    <w:p>
      <w:r>
        <w:t>septembre 2018, donc obsolète. Les communications d’un avocat et la citation à comparaître à une audience du 6 janvier 2020 ne suffisent pas à rendre vraisemblable que la recourante obtiendra gain de cause dans ce procès. Enfin la recourante n’a pas produit de comptes révisés avec bilan intermédiaire. Au vu de ses éléments, il y a lieu d’admettre qu’elle n’a pas rendu vraisemblable que ses difficultés de trésorerie n’étaient que passagères, partant qu’elle était solvable.</w:t>
      </w:r>
    </w:p>
    <w:p>
      <w:r>
        <w:t>- 10 - IV. En conclusion, le recours, manifestement mal fondé, doit être rejeté et le jugement confirmé. Vu le rejet du recours, les frais judiciaires de deuxième instance, arrêtés à 300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