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FF10.027444 vom 14. Juni 2011</w:t>
      </w:r>
    </w:p>
    <w:p>
      <w:r>
        <w:t>VD Tribunal cantonal, 2011-06-14, FR</w:t>
      </w:r>
    </w:p>
    <w:p>
      <w:r>
        <w:rPr>
          <w:b/>
        </w:rPr>
        <w:t xml:space="preserve">Quelle: </w:t>
      </w:r>
      <w:r>
        <w:t>https://mcp.opencaselaw.ch/entscheid/vd_gerichte_FF10.027444</w:t>
      </w:r>
    </w:p>
    <w:p>
      <w:r>
        <w:t>FR: VD_GERICHTE FF10.027444 du 14 juin 2011</w:t>
      </w:r>
    </w:p>
    <w:p>
      <w:r>
        <w:t>IT: VD_GERICHTE FF10.027444 del 14 giugno 2011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juin 2011, à 16 heures 15 ;</w:t>
      </w:r>
    </w:p>
    <w:p>
      <w:r>
        <w:t>- 7 - considérant que les frais de deuxième instance de la recourante sont arrêtés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