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FA23.035478 vom 31. Dezember 2024</w:t>
      </w:r>
    </w:p>
    <w:p>
      <w:r>
        <w:t>VD Tribunal cantonal, 2024-12-31, FR</w:t>
      </w:r>
    </w:p>
    <w:p>
      <w:r>
        <w:rPr>
          <w:b/>
        </w:rPr>
        <w:t xml:space="preserve">Quelle: </w:t>
      </w:r>
      <w:r>
        <w:t>https://mcp.opencaselaw.ch/entscheid/vd_gerichte_FA23.035478</w:t>
      </w:r>
    </w:p>
    <w:p>
      <w:r>
        <w:t>FR: VD_GERICHTE FA23.035478 du 31 décembre 2024</w:t>
      </w:r>
    </w:p>
    <w:p>
      <w:r>
        <w:t>IT: VD_GERICHTE FA23.035478 del 31 dicembre 2024</w:t>
      </w:r>
    </w:p>
    <w:p>
      <w:pPr>
        <w:pStyle w:val="Heading2"/>
      </w:pPr>
      <w:r>
        <w:t>Erwägungen</w:t>
      </w:r>
    </w:p>
    <w:p>
      <w:r>
        <w:rPr>
          <w:b/>
        </w:rPr>
        <w:t>E. 21</w:t>
      </w:r>
    </w:p>
    <w:p>
      <w:r>
        <w:t>décembre 1937 ; RS 311.0) et ses conséquences pénales. Le 31 mai 2024, L.________, par son conseil, a déposé une plainte LP contre l’avis de l’office du 17 mai 2024, prenant les conclusions suivantes : – principalement : dire et constater que le courrier de l’Office des poursuites de Nyon du 17 mai 2024 n’est pas une décision sujette à plainte ; condamner l’Office des poursuites de Nyon au paiement des frais de la présente procédure ; – subsidiairement : dire et constater que le courrier de l’Office des poursuites de Nyon doit être renvoyé audit Office pour décision nouvelle dûment motivée avec indication des voies de recours ; condamner l’Office des poursuites de Nyon au paiement des frais de la présente procédure ; – en tout état : annuler la décision prise par l’Office des poursuites de Nyon dans son courrier du 17 mai 2024 ; condamner l’Office des poursuites de Nyon au paiement des frais de la présente procédure. g) Le 12 juin 2024, I.________, par son conseil, a déclaré s’en remettre à justice sur le recours déposé par H.________ le 29 avril 2024. Elle a relevé avoir été attraite à la procédure par la jonction des trois plaintes, mais que, n’ayant pas recouru contre le chiffre I de la décision du 16 avril 2024 rejetant sa plainte, elle n’avait pas d’intérêt juridique à participer à la présente procédure de recours.</w:t>
      </w:r>
    </w:p>
    <w:p>
      <w:r>
        <w:t>- 13 - Le 13 juin 2024, l’office s’est déterminé sur le recours déposé par H.________ le 29 avril 2024, et s’en est remis à justice. Il a par ailleurs infor-mé la Cour de céans des faits nouveaux intervenus depuis la reddition du prononcé relatés ci-dessus, et notamment de la décision du 17 mai 2024 et de la nouvelle plainte déposée par H.________ le 31 mai 2024 contre celle-ci. h) Le 17 juin 2024, L.________ a conclu, avec suite de frais et dépens : – à l’irrecevabilité du recours, à la confirmation de la décision rendue le 16 avril 2024 dans les causes FA23.035478, FA23.036021 et FA23.038491, et au rejet des conclusions de la recourante et de l’Office (conclusions 2, 3 et 4) ; – subsidiairement, au rejet du recours, à la confirmation de la décision rendue le 16 avril 2024 dans les causes FA23.035478, FA23.036021 et FA23.038491, et au rejet des conclusions de la recourante et de l’office (conclusions 5, 6 et 7) ; – plus subsidiairement, à ce que le recours soit déclaré sans objet, à la confirmation de la décision rendue le 16 avril 2024 dans les causes FA23.035478, FA23.036021 et FA23.038491, et au rejet des conclusions de la recourante et de l’Office (conclusions 8, 9 et 10). En d roit : I. a) L’acte de recours du 29 avril 2024, déposé en temps utile, dans les dix jours suivant la notification de la décision du 16 avril 2024 (art. 18 al. 1 LP ; 28 al. 1 et 73 al. 3 LVLP [loi vaudoise d’application de la LP ; BLV 280.05]), est recevable, sous réserve des conclusions 4, 7 et 8, qui n’ont pas été prises en première instance, et qui sont donc exorbitantes. En effet, si les allégations de faits nouveaux et la production de nouvelles pièces sont licites en vertu de l’art. 28 al. 4 LVLP, il n’en va pas de même des conclusions nouvelles. La plainte au sens des art. 17 ss LP et le recours contre la décision sur plainte doivent porter sur les mêmes objets, sous peine d’irrecevabilité (CPF 27 juin 2019/28 ; CPF 3 mars</w:t>
      </w:r>
    </w:p>
    <w:p>
      <w:r>
        <w:t>- 14 - 2016/11 ; CPF 9 décembre 2014/57 ; CPF 31 mars 2014/11 ; CPF 19 novembre 2013/38). Contrairement à ce que soutient l’intimée L.________ en se référant faussement à l’art. 326 al. 1 CPC, les allégations et les pièces nouvelles produites par la recourante sont donc recevables. En outre, l’intimée L.________ soutient que le recours n’est pas suffisamment motivé, et qu’il est ainsi irrecevable. Il est vrai que la jurisprudence a déduit de l’art. 18 LP le devoir de motiver (TF 5A_118/2018 du 7 février 2018 consid. 4.2) ; cette question sera analysée plus loin, avec l’examen des moyens (cf. consid. II infra). b) Les déterminations de l’office, d’I.________ et de L.________, déposées dans le délai imparti, sont également recevables (art. 31 al. 1 LVLP). II. a) A l’appui de son recours, H.________ invoque que les animateurs et ayants-droit de L.________ et d’I.________ sont les mêmes personnes, et que ces deux sociétés ont admis ce fait (allégués 10 et 11). Elle expose qu’I.________ a pour but l’exploitation d’un garage automobile et la vente de véhicules, et qu’elle exerce ses activités dans les locaux qu’elle lui loue ; quant à L.________, dont le siège est sis à [...], au domicile de son administrateur président, son but est notamment [...]. La recourante fait valoir que L.________ ne disposant pas de locaux pour entreposer ses remorques et la Ferrari, celles-ci « étaient entreposées à l’année sur la parcelle prise en location par I.________» (allégués 19 et 20). Elle expose que le rapport d’affectation et le rapport spatial qui doit exister entre les objets saisissables et les locaux loués sont dès lors établis ; de même, il y aurait durabilité, car les remorques et la Ferrari « ne se trouvaient pas par hasard dans les locaux litigieux et elles y restaient pour une certaine durée » ; enfin, comme les locaux loués étaient destinés à « servir d’atelier de réparation et d’exposition de voitures, ainsi que de lieu d’entreposage de véhicules », les véhicules en</w:t>
      </w:r>
    </w:p>
    <w:p>
      <w:r>
        <w:t>- 15 - cause « servaient à l’usage » des locaux loués. La recourante invoque par ailleurs que la propriété sur les biens en cause n’est pas établie, et que l’autorité inférieure « a préjugé du fond de l’éventuelle procédure en revendication subséquente ». Les plaintes de L.________ auraient en conclusion été admises à tort. L’intimée L.________ objecte en substance que les faits nouveaux sur lesquels la recourante fonde exclusivement son recours, relatifs d’une part aux ayants-droits des deux sociétés (allégués 10 et 11), et d’autre part au fait que les objets inventoriés étaient déposés et entretenus auprès d’I.________ (allégués 19 et 20), sont fermement contestés, et par ailleurs irrecevables et non prouvés. D’abord, elle relève que les offres de preuve relatives à ces allégués, soit « par la procédure » et l’«absence de preuve contraire » ne sont pas probantes, s’agissant de faits qu’il lui appartient d’établir. Au demeurant, elle relève que la recourante n’avait pas invoqué dans ses écritures que les ayants-droit des sociétés seraient les mêmes, et qu’il a au contraire été prouvé durant la procédure que tel n’était pas le cas ; ainsi, il ressort des extraits des registres du commerce relatifs aux deux sociétés que les administrateurs ne sont pas les mêmes ; en outre, lors de l’interrogatoire des parties, l’administrateur d’I.________ a déclaré n’avoir jamais été actionnaire ou ayant-droit économique de L.________, et que l’administrateur de cette société n’était pas ni n’avait jamais été actionnaire d’I.________; par ailleurs, [...], le représentant d’I.________ a confirmé, lors de l’audience, que cette société exploitait un atelier de réparation et que la Ferrari revendiquée se trouvait sur une remorque qui était sur le domaine public, que cette voiture était présente pour procéder à des réparations et à des réglages et que la seconde remorque contenait du matériel nécessaire pour ces réparations et ces réglages (cf. PV du 19 février 2024, pp. 1-2). L’intimée déclare qu’elle peine dès lors à comprendre comment la recourante peut alléguer de tels faits de manière aussi péremptoire. Enfin, à l’appui de sa conclusion tendant au constat de l’irrecevabilité du recours, l’intimée fait remarquer que la recourante n’indique pas quelle disposition légale serait violée, ne formule aucune critique à l’encontre de la décision attaquée, mais ne fait que de substituer son point de vue à</w:t>
      </w:r>
    </w:p>
    <w:p>
      <w:r>
        <w:t>- 16 - celui de l’autorité inférieure. A titre subsidiaire, elle relève que la recourante se fonde sur des faits non prouvés pour en conclure que les conditions légales sont remplies ; or, il n’y a aucun rapport d’affectation entre les biens litigieux et les locaux, étant précisé qu’elle-même n’est justement pas locataire de ces locaux ; les objets étaient là pour une réparation, donc de manière fortuite. Enfin, l’intimée considère que la recourante « évite soigneusement la question de la propriété de ces objets, dès lors que la situation juridique relative à cette question ne lui convient pas ». Au demeurant, la propriété de l’intimée sur ces objets est pertinente, dès lors qu’elle exclut d’emblée toute mesure de prise d’inventaire. b) Le droit de rétention du bailleur de locaux commerciaux est un droit de gage légal qui a pour but de garantir les loyers écoulés et du semestre courant (art. 268 al. 1 CO). L’art. 268 al. 1 CO vise le mobilier, les machines et l’équipement du locataire, mais aussi les marchandises entreposées dans les locaux loués (Lachat, in Thévenoz/Werro, [éd.], Commentaire romand, 3e éd., Bâle 2021, n. 5 ad art. 268-268b CO). Dans l'exécution forcée, il est considéré comme un gage mobilier (art. 37 al. 2 LP) que le bailleur doit faire valoir par la voie de la poursuite en réalisation du gage (art. 151 ss LP ; ATF 146 III 303 consid. 2.2.1 ; ATF 124 III 215 consid. 1b ; Braconi, L'exécution forcée des créances pécuniaires et en prestation de sûretés en matière de bail, in 16ème Séminaire sur le droit du bail, 2010, p. 138 ss [143] ; Schnyder/Wiede, in Staehelin/Bauer/Lorandi [éd.], Basler Kommentar, Bun-desgesetz über Schuldbetreibung und Konkurs, vol. II, 3e éd., 2021, n. 8 ad art. 283 LP). L'art. 283 LP confère au bailleur la possibilité de requérir le concours de l'office des poursuites pour obtenir la protection provisoire de son droit de rétention. A cette fin, l'office dresse un inventaire des objets soumis au droit de rétention et assigne au bailleur un délai pour requérir la poursuite en réalisation de gage (ATF 146 III 303 précité ; TF 7B.82/2002 du 23 juillet 2002 consid. 2.2, in Pra 2002 n. 214 p. 1138). La prise d'inventaire a un effet conservatoire déterminant. En effet, le droit de rétention naît avec l'arrivée des meubles dans les locaux loués, la prise</w:t>
      </w:r>
    </w:p>
    <w:p>
      <w:r>
        <w:t>- 17 - d'inven-taire de l'art. 283 LP ne faisant que lui donner une manifestation extérieure. Toutefois, sous réserve du droit de suite du bailleur selon l'art. 268b CO, ce droit s'éteint dès que les meubles sortent définitivement des locaux loués, à moins que l'inventaire ait été dressé (ATF 146 III 303 précité ; TF 5C.52/2000 du 18 avril 2000 consid. 2c). La prise d'inventaire est donc une mesure unilatérale, ordonnée sur la base de la réquisition du créancier, sans convocation du débiteur (ATF 93 III 20 consid. 3). Celui-ci en est informé lors de la communication du procès-verbal d'inven-taire (Stoffel/Oulevey, in Commentaire romand, Poursuite et faillite, 2005, n. 29 ad art. 283 LP). L'office des poursuites examine sommairement et à titre préjudiciel (ATF 109 III 42 consid. 1) si les conditions matérielles du droit de rétention sont remplies (ATF 146 III 303 précité ; ATF 52 III 122, 126). Il ne peut refuser, pour des raisons de droit matériel, de dresser un inventaire des objets soumis au droit de rétention du bailleur, que si l'inexistence de ce droit est manifeste (ATF 97 III 43 consid. 1). Il appartient ensuite au juge civil d'en décider définitivement (ATF 146 III 303 précité, et les références citées). c) En l’espèce, avec l’intimée, il faut constater que les arguments de la recourante, qui sont fondés (implicitement) sur l’art. 268 al. 1 CO et la jurisprudence y relative, ne reposent sur aucun fait ressortant de la décision attaquée. Certes, la recourante pouvait alléguer des faits nouveaux et produire des pièces nouvelles devant la Cour de céans. Toutefois, les faits allégués sous numéros 10, 11, 19 et 20 sur lesquels elle fonde exclusivement son recours ont été contestés par l’intimée, et ne peuvent pas être démontrés par les soi-disant offres de preuves « par la procé-dure » et « absence de preuve contraire » indiquées. Par ailleurs, la recourante n’a pas fait porter l’instruction en première instance, notamment par l’audition de témoins, sur ces faits, ni n’a du reste requis de la Cour de céans qu’elle procède à des mesures d’instruction. Enfin, comme le relève l’intimée, il est vrai que les administrateurs des sociétés I.________ et L.________ ne sont pas les mêmes. Selon les données ressortant du registre du commerce accessibles par Internet, et qui sont des faits notoires (TF 4A_639/2023 du</w:t>
      </w:r>
    </w:p>
    <w:p>
      <w:r>
        <w:t>- 18 - 3 avril 2024 consid. 2.2 et les nombreuses références citées), deux des administrateurs de L.________ – [...] et [...] – sont directeurs d’I.________; la recourante n’invoque toutefois pas ce fait, ni a fortiori n’en tire de consé- quence factuelle ou juridique ; au demeurant, à lui seul, ce fait est insuffisant pour en déduire que les animateurs et les ayants-droit des deux sociétés sont les mêmes, fait que la recourante allègue du reste sans exposer clairement quelle conséquence susceptible d’être pertinente elle entend en déduire. Dans ces conditions, il faut en conclure qu’aucun des faits nouveaux invoqués par la recourante n’est prouvé. Au demeurant, comme le relève l’intimée, il ressort du procès- verbal de l’audience que [...], représentant de la locataire, a indiqué que celle-ci exploitait un atelier de réparation et que la Ferrari revendiquée par L.________ est une voiture [...] qui se trouvait dans la remorque, à l’extérieur des locaux, sur le domaine public, pour des réparations et des réglages ; il a précisé que les trois objets (la Ferrari et les remorques Brian et Agados) se trouvaient là depuis quelques jours. L’autorité inférieure a constaté dans les faits que la voiture Ferrari et les deux remorques avaient été amenées par L.________ à I.________ afin que cette dernière procède à des réparations et à des réglages, et en a déduit, en droit, que dans la mesure où il ne s’agissait pas d’un objet mobilier servant à l’aménagement et à l’usage des locaux, elles échappaient au droit de rétention du bailleur. La recourante ne conteste pas le raisonnement qui a conduit à cette déduction, ni n’amène aucun élément pertinent permettant de la remettre en cause ; en particulier, elle n’a pas remis en cause la véracité des déclarations faites lors de l’audience par le représentant de la locataire. En outre, l’autorité inférieure a constaté dans les faits que l’intimée L.________ avait établi qu’elle était propriétaire des trois objets en cause. L’argument de la recourante, qui consiste simplement à le contester et à invoquer qu’il s’agit d’une question qui relève du fond, ne prend pas ancrage dans le raisonnement fait par l’autorité inférieure, et doit ainsi être écarté.</w:t>
      </w:r>
    </w:p>
    <w:p>
      <w:r>
        <w:t>- 19 - III. En conclusion, le recours doit être rejeté et la décision attaquée confir-mée. Le présent arrêt est rendu sans frais ni dépens (art. 61 al. 2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