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FA14.028623 vom 31. Oktober 2014</w:t>
      </w:r>
    </w:p>
    <w:p>
      <w:r>
        <w:t>VD Tribunal cantonal, 2014-10-31, FR</w:t>
      </w:r>
    </w:p>
    <w:p>
      <w:r>
        <w:rPr>
          <w:b/>
        </w:rPr>
        <w:t xml:space="preserve">Quelle: </w:t>
      </w:r>
      <w:r>
        <w:t>https://mcp.opencaselaw.ch/entscheid/vd_gerichte_FA14.028623</w:t>
      </w:r>
    </w:p>
    <w:p>
      <w:r>
        <w:t>FR: VD_GERICHTE FA14.028623 du 31 octobre 2014</w:t>
      </w:r>
    </w:p>
    <w:p>
      <w:r>
        <w:t>IT: VD_GERICHTE FA14.028623 del 31 ottobre 2014</w:t>
      </w:r>
    </w:p>
    <w:p>
      <w:pPr>
        <w:pStyle w:val="Heading2"/>
      </w:pPr>
      <w:r>
        <w:t>Erwägungen</w:t>
      </w:r>
    </w:p>
    <w:p>
      <w:r>
        <w:rPr>
          <w:b/>
        </w:rPr>
        <w:t>E. 1</w:t>
      </w:r>
    </w:p>
    <w:p>
      <w:r>
        <w:t>a) Le 21 juin 2014, E.________ a adressé à l'Office des poursuites du district de Nyon (ci-après : l'office), dans le cadre de son dossier n° 5000448643, une réquisition de poursuite en paiement des montants suivants : « 1 CHF 386.95 plus 5 % d’intérêt depuis le 31.01.2014</w:t>
      </w:r>
    </w:p>
    <w:p>
      <w:r>
        <w:rPr>
          <w:b/>
        </w:rPr>
        <w:t>E. 2</w:t>
      </w:r>
    </w:p>
    <w:p>
      <w:r>
        <w:t>Le formulaire « commandement de payer » est disponible en cinq versions : - commandement de payer pour la poursuite ordinaire par voie de saisie ou de faillite ; (…)</w:t>
      </w:r>
    </w:p>
    <w:p>
      <w:r>
        <w:rPr>
          <w:b/>
        </w:rPr>
        <w:t>E. 3</w:t>
      </w:r>
    </w:p>
    <w:p>
      <w:r>
        <w:t>Le formulaire « commandement de payer » fait deux pages, à imprimer recto verso. (…)</w:t>
      </w:r>
    </w:p>
    <w:p>
      <w:r>
        <w:rPr>
          <w:b/>
        </w:rPr>
        <w:t>E. 5</w:t>
      </w:r>
    </w:p>
    <w:p>
      <w:r>
        <w:t>Les explications juridiques sont minimales sur le commandement de payer. Une fiche d’information peut être retirée auprès de l’office des poursuites ou téléchargée sur le portail des poursuites (…). B. Champs du formulaire (…) 13. Aperçu des créances donnant lieu à la poursuite : Ce champ indique l’ensemble des créances sur lesquelles porte la poursuite (dix au maximum). Si la poursuite porte sur un nombre plus important de créances, il convient de les regrouper. Il n’y a pas lieu d’indiquer le montant des intérêts moratoires, qui</w:t>
      </w:r>
    </w:p>
    <w:p>
      <w:r>
        <w:t>- 6 - augmente constamment. Le créancier peut additionner les intérêts moratoires dus jusqu’à la date de la poursuite et en faire une créance séparée. 14. 1e créance : Le champ de la 1e créance est plus large afin que le créancier puisse motiver sa créance principale ; l’explication doit valoir pour l’ensemble des créances indiquées. (…) C. Remarque finale 20. Le formulaire en usage pour le commandement de payer (formulaire 3 du recueil de modèles de 1996) n’est plus valable à compter de l’entrée en vigueur de la présente directive. 21. La présente directive entre en vigueur le 1er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 - une "Feuille d'information sur le commandement de payer" émis par le Service de haute surveillance en matière de poursuite et faillite le 15 avril 2014. 3. Par prononcé rendu le 26 août 2014 et notifiée à la plaignante lendemain, à la suite d’une audience tenue le 7 août 2014 en présence des parties, le Président du Tribunal d’arrondissement de Lausanne, statuant en qualité d'autorité inférieure de surveillance en matière de poursuite pour dettes et faillite, a rejeté la plainte (I), sans frais ni dépens (II). Il a considéré qu’en se conformant strictement au cadre qui lui était posé, l'office n'avait pas commis de faute ni n’avait agi au mépris de la loi. Il a ajouté en particulier ceci : « La question de la conformité au droit fédéral, et notamment aux dispositions de la LP et de l’Oform, des prescriptions édictées par l’Office fédéral de la justice se pose très clairement ; il semble en outre douteux qu’une base légale suffisante à la directive en cause existe effectivement. Toutefois, cette constatation ne suffit pas, à elle seule, à donner prise à l’admission d’une plainte, puisque l’Office des poursuites en cause a respecté la loi et s’est borné à appliquer les instructions qui lui ont été données. Il ne lui incombe pas non plus de vérifier que chaque directive reçue de leur autorité de haute surveillance fédérale est en conformité avec le droit fédéral et qu’une base légale suffisante existe, pas plus que cette tâche ne revient à l’autorité de céans, laquelle se borne à examiner le bien-fondé des décisions prises par les Offices qui sont dans son ressort judiciaire.</w:t>
      </w:r>
    </w:p>
    <w:p>
      <w:r>
        <w:t>- 7 - Pour le surplus, le représentant de l’Office a expliqué, en cours d’audience, que suite à la modification de l’application « Themis », il était désormais de toute manière impossible, du point de vue informatique, de saisir des réquisitions ne correspondant pas aux nouveaux critères ». 4. Par acte du 3 septembre 2014, la plaignante a recouru contre cette décision, concluant à son annulation et à ce qu’il soit ordonné à l’office d’enregistrer les réquisitions de poursuite litigieuses, d’établir les commandements de payer y relatifs et de les adresser aux débiteurs poursuivis. Par lettre du 10 septembre 2014, l'Office a déclaré confirmer ses déterminations déposées en première instance. En d roit : I. Formé contre une décision de l’autorité inférieure de surveillance dans le délai de dix jours suivant sa notification, soit en temps utile, auprès de la cour de céans, autorité cantonale supérieure de surveillance (art. 18 al. 1 LP et 28 al. 1 LVLP [loi vaudoise d’application de la LP; RSV 280.05]), le recours comporte des conclusions et l'énoncé des moyens invoqués (art. 28 al. 3 LVLP), de sorte qu'il est recevable. La réponse de l'office est également recevable (art. 31 al. 1 LVLP). II. a) L’art. 17 al. 1 LP prévoit qu'il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w:t>
      </w:r>
    </w:p>
    <w:p>
      <w:r>
        <w:t>- 8 -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b) En l’espèce, par ses décisions du 2 juillet 2014, l’office n’a pas donné suite aux réquisitions de poursuite déposées par la recourante et l’a invitée à lui faire parvenir de nouvelles réquisitions conformes à la norme e-LP 2.0. Ce faisant, il a refusé d’établir et de notifier des commandements de payer, actes qu’il était tenu d’accomplir au bénéfice de la recourante à réception des réquisitions de poursuite, selon les art. 69 à 71 LP. En outre, il a exposé les motifs de son refus. Ces décisions constituent ainsi une mesure contre laquelle la recourante, indubitablement lésée dans ses intérêts juridiquement protégés, avait qualité pour déposer plainte au sens de l’art. 17 LP (ATF 138 III 219 c. 2; 129 III 595 c. 3; cf. Gilliéron, Commentaire de la loi fédérale sur la poursuite et la faillite, tome I, n. 144 ad art. 17 LP et les réf. cit.). La plainte déposée le 10 juillet 2014 a été formée en temps utile. Elle est dès lors formellement et matériellement recevable. III. La recourante fait valoir, en substance, que les instructions de l'OFJ aux offices de poursuites et de faillites ne sont que des directives, soit des ordonnances administrative ne s'adressant pas aux justiciable, et qu'elles ne sauraient introduire des conditions supplémentaires pour la réquisition de poursuite à celles fixées par les art. 67 LP et 3 al. 2 Oform, que l’Instruction n° 2 concerne le commandement de payer et non la réquisition de poursuite et, enfin, qu'une impossibilité de traiter informatiquement la réquisition de poursuite litigieuse ne saurait justifier une violation de la loi.</w:t>
      </w:r>
    </w:p>
    <w:p>
      <w:r>
        <w:t>- 9 - IV. a)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op. cit., n. 56 ad art. 67 LP; Kofmel Ehrenzeller, in Staehelin/Bauer/ Staehelin (éd.), Commentaire précité, nn. 38 et 41a ad art. 67 LP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w:t>
      </w:r>
    </w:p>
    <w:p>
      <w:r>
        <w:t>- 10 -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 43 ad art. 67 LP; Ruedin, Commentaire romand de la LP, n. 34 ad art. 67 LP). bb) En plus des exigences quant au contenu de la réquisition de poursuite, l’art. 67 LP prévoit qu’elle peut être adressée à l'office sous deux formes : par écrit, avec signature (ATF 119 III 4, JT 1995 II 98), ou oralement. L'ordonnance du Tribunal fédéral du 5 juin 1996 sur les formulaires et registres à employer en matière de poursuite pour dettes et de faillite et sur la comptabilité [Oform; RS 281.31]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w:t>
      </w:r>
    </w:p>
    <w:p>
      <w:r>
        <w:t>- 11 -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w:t>
      </w:r>
    </w:p>
    <w:p>
      <w:r>
        <w:t>- 12 -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 und Konkursrechts, 7e éd. 2003, § 16 N 4). b) En l’espèce, il n’est pas contesté que la réquisition de poursuite litigieuse comportait toutes les mentions obligatoires énumérées à l’art. 67 LP. Elle n’était donc pas "incomplète" au sens de l’art. 3 al. 2 Oform. Ainsi, au regard de la LP et de l’Oform, l’office ne pouvait pas refuser d’établir et de notifier un comman-dement de payer à réception de cette réquisition. c) L’Office a néanmoins refusé de le faire en invoquant des "prescriptions obligatoires quant à la forme du contenu du commandement de payer et de la commination de faillite" édictées par l'OFJ, savoir, en résumé : limitation du nombre des créances à dix au maximum, limitation du nombre de caractères de la mention de la cause</w:t>
      </w:r>
    </w:p>
    <w:p>
      <w:r>
        <w:t>- 13 - de l'obligation, mention d'un seul taux d'intérêt, pas de mention d'acomptes et pas de fraction de créance. aa) On comprend à la lecture de l'Instruction n° 2 du 15 avril 2014 que l'OFJ a modifié le formulaire type en vigueur concernant le commandement de payer par le biais de cette directive, en précisant à ses chiffres 20 et 21 que, dès son entrée en vigueur le 1er mai 2014, le formulaire en usage pour le commandement de payer (formulaire 3 du recueil de modèles de 1996) n’était plus valable. On constate toutefois que cette Instruction n° 2 n’est valable que pour les commandements de payer et non pour les réquisitions de poursuite. Elle ne pouvait donc pas servir de fondement juridique à la décision de l'office.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laisse entendre l’office dans la décision querellée, puisqu’il invoque la non-conformité de la réquisition de poursuite à des prescriptions de l'OFJ qui le brideraient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w:t>
      </w:r>
    </w:p>
    <w:p>
      <w:r>
        <w:t>- 14 -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 LP – ne constitue pas une base légale claire pour une modification du contenu du commandement de payer ni, par ricochet, de celui de la réquisition de poursuite.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les commandements de payer relatifs aux deux réquisitions de poursuite de la recourante conformément aux art. 69 à 71 LP. V. En outre,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La cour de céans a en effet rappelé que, selon la jurisprudence et la doctrine, on distingue quatre types d’ordonnances du Conseil fédéral : indépendantes et (dépendantes) d’exécution, de substitution et administratives. aa) En particulier, les ordonnances d’exécution sont celles que le Conseil fédéral édicte pour "mettre en œuvre la législation" (art. 182 al.</w:t>
      </w:r>
    </w:p>
    <w:p>
      <w:r>
        <w:t>- 15 - 2 Cst.). Elles sont d’abord soumises à un contrôle de la légalité; l’autorité chargée de les appliquer examine si elles restent dans le cadre de la loi et se contentent d’en définir le contenu et d’en préciser les termes; lorsqu’en revanche une ordonnance d’exécution contient des règles primaires,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le juge doit ainsi refuser de l’appliquer et annuler la décision entreprise; le contrôle de la légalité est ensuite suivi d’un contrôle de la constitutionnalité (ATF 136 V 146; 134 I 313; 133 II 331, JT 2007 I 504; ATF 124 I 127; 116 V 28; 104 Ib 171; Auer et alii, op. cit., nn. 1977 à 1979 et les réf. cit.). bb) Les ordonnances de substitution sont quant à elles édictées en fonction d’une délégation législative, par laquelle la loi "autorise" le Conseil fédéral à édicter des règles de droit sous la forme d’ordonnances (art. 164 al. 2 et 182 al. 1 Cst.); la délégation doit se limiter à une matière déterminée et définir, au moins dans les grandes lignes, le but, l’objet et l’étendue des pouvoirs délégués; le Tribunal fédéral est en principe habilité à examiner le contenu de la délégation législative; quant aux autorités chargées d’appliquer les ordonnances de substitution, elles sont habilitées à en examiner la légalité, soit à vérifier si elles restent dans le cadre et dans les limites de la délégation législative; dans cet examen, le juge doit se borner à examiner si les dispositions incriminées sortent manifestement du cadre de la délégation de compétence donnée par le législateur à l’exécutif; il ne doit pas substituer sa propre appréciation à celle de l’autorité dont émane la règlementation en cause, mais se borner à vérifier si la disposition litigieuse est propre à réaliser objectivement le but de la loi, sans se soucier de savoir si elle constitue le moyen le mieux approprié pour atteindre ce but; ce contrôle se confond donc pratiquement avec le contrôle de l’arbitraire de la réglementation en cause (ATF 137 III 217, JT 2012 II 311; ATF 136 V 24; 136 II 337, RDAF 2011 I 552; ATF 131 II 271; 129 II 160; 122 V 300; Auer et alii, op. cit., nn. 1985 et 1986). Enfin, le juge doit contrôler la constitutionnalité des ordonnances de substitution</w:t>
      </w:r>
    </w:p>
    <w:p>
      <w:r>
        <w:t>- 16 - (ATF 136 II 337, RDAF 2011 I 552; ATF 133 V 569; 131 II 271; Auer et alii, op. cit., n. 1987). cc) Quant aux ordonnances administratives, elles ne déploient leurs effets qu’à l’égard de l’administration. Elles ne créent pas de nouvelles règles de droit et ne peuvent contraindre les administrés à adopter un certain comportement. Elles donnent le point de vue de l’administration sur l’application d’une règle de droit, et non une interprétation contraignante de celle-ci. C’est au juge qu’il incombe de vérifier si le point de vue de l’administration qu’exprime l’ordonnance administrative est conforme à la loi et à la Constitution. Situées au dernier rang de la hiérarchie des normes fédérales, les ordonnances administratives ne doivent en effet rien renfermer qui aille à l’encontre de la Constitution, des lois et des ordonnances législatives, dûment interprétées par la jurisprudence (ATF 138 I 274, JT 2013 I 3; ATF 138 V 50; 136 V 295; 128 I 167; Auer et alii, nn. 1988 à 1990). b)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w:t>
      </w:r>
    </w:p>
    <w:p>
      <w:r>
        <w:t>- 17 -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c)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la plainte est admise et le dossier renvoyé à l’office intimé pour qu’il établisse et notifie les commandements de payer relatif aux deux réquisitions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 Par ces motifs,</w:t>
      </w:r>
    </w:p>
    <w:p>
      <w:r>
        <w:t>- 18 - la Cour des poursuites et faillites du Tribunal cantonal, statuant à huis clos en sa qualité d'autorité cantonale supérieure de surveillance, p r o n o n c e : I. Le recours est admis. II. Le prononcé est réformé en ce sens que la plainte est admise et le dossier renvoyé à l’Office des poursuites du district de Lausanne pour qu’il établisse et notifie les commandements de payer relatifs aux deux réquisitions de poursuite de la recourante conformément aux art. 69 à 71 LP, après que la plaignante aura avancé les frais des poursuites. III. L’arrêt, rendu sans frais ni dépens, est exécutoire. Le président : La greffière : Du 31 octobre 2014 L'arrêt qui précède, dont la rédaction a été approuvée à huis clos, prend date de ce jour. Il est notifié, par l'envoi de photocopies, à : - E.________,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- 19 -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