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FA14.016386 vom 2. Dezember 2014</w:t>
      </w:r>
    </w:p>
    <w:p>
      <w:r>
        <w:t>VD Tribunal cantonal, 2014-12-02, FR</w:t>
      </w:r>
    </w:p>
    <w:p>
      <w:r>
        <w:rPr>
          <w:b/>
        </w:rPr>
        <w:t xml:space="preserve">Quelle: </w:t>
      </w:r>
      <w:r>
        <w:t>https://mcp.opencaselaw.ch/entscheid/vd_gerichte_FA14.016386</w:t>
      </w:r>
    </w:p>
    <w:p>
      <w:r>
        <w:t>FR: VD_GERICHTE FA14.016386 du 2 décembre 2014</w:t>
      </w:r>
    </w:p>
    <w:p>
      <w:r>
        <w:t>IT: VD_GERICHTE FA14.016386 del 2 dicembre 2014</w:t>
      </w:r>
    </w:p>
    <w:p>
      <w:pPr>
        <w:pStyle w:val="Heading2"/>
      </w:pPr>
      <w:r>
        <w:t>Erwägungen</w:t>
      </w:r>
    </w:p>
    <w:p>
      <w:r>
        <w:rPr>
          <w:b/>
        </w:rPr>
        <w:t>E. 5</w:t>
      </w:r>
    </w:p>
    <w:p>
      <w:r>
        <w:t>Les explications juridiques sont minimales sur le commandement de payer. Une fiche d’information peut être retirée auprès de l’office des poursuites ou téléchargée sur le portail des poursuites (www.portaildespoursuites.ch). B. Champs du formulaire (…) 13. Aperçu des créances donnant lieu à la poursuite : Ce champ indique l’ensemble des créances sur lesquelles porte la poursuite (dix au maximum). Si la poursuite porte sur un nombre plus important de créances, il convient de les regrouper. Il n’y a pas lieu d’indiquer le montant des intérêts moratoires, qui augmente constamment. Le créancier peut additionner les intérêts moratoires dus jusqu’à la date de la poursuite et en faire une créance séparée. 14. 1e créance : Le champ de la 1e créance est plus large afin que le créancier puisse motiver sa créance principale ; l’explication doit valoir pour l’ensemble des créances indiquées. (…) C. Remarque finale 20. Le formulaire en usage pour le commandement de payer (formulaire 3 du recueil de modèles de 1996) n’est plus valable à compter de l’entrée en vigueur de la présente directive. 21.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 2. Par décision rendue le 24 et notifiée à la plaignante le 25 juin 2014, à la suite d’une audience tenue le 26 mai 2014 en présence des parties, la Présidente du Tribunal d’arrondissement de La Côte, statuant en qualité d'autorité inférieure de surveillance en matière de poursuite pour dettes et faillite, a rejeté la plainte (I), sans frais ni dépens (II). Elle a considéré que l'office n'avait pas agi de manière contraire à la loi en appliquant les instructions de son autorité de surveillance. Elle a ajouté ceci (consid. 2 c) in fine) : "Il ne fait aucun doute que l'OFJ avait la compétence d'édicter ces instructions. La question de savoir si celles-ci respectent le cadre de la loi, en particulier l'article 67 LP, ou si, au contraire, elles vont au-delà des exigences posées par cette disposition, est certes pertinente. Il n'appartenait toutefois ni à l'office – ni à l'autorité de céans dans le cadre de la présente plainte – d'y répondre."</w:t>
      </w:r>
    </w:p>
    <w:p>
      <w:r>
        <w:t>- 6 - 3. Par acte du 3 juillet 2014, la plaignante a recouru contre cette décision, concluant à sa réforme en ce sens que la décision de l'office est annulée et qu’il est ordonné à ce dernier d’enregistrer la réquisition de poursuite litigieuse. Par lettre du 11 juillet 2014, l'office a déclaré confirmer ses déterminations déposées en première instance. En d roit : I. Formé contre une décision de l’autorité inférieure de surveillance dans le délai de dix jours suivant sa notification, soit en temps utile, auprès de la cour de céans, autorité cantonale supérieure de surveillance (art. 18 al. 1 LP [loi fédérale sur la poursuite pour dettes et la faillites, RS 281.1] et 28 al. 1 LVLP [loi vaudoise d’application de la LP; RSV 280.05]), le recours comporte des conclusions et l'énoncé des moyens invoqués (art. 28 al. 3 LVLP), de sorte qu'il est recevable.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w:t>
      </w:r>
    </w:p>
    <w:p>
      <w:r>
        <w:t>- 7 -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sa décision du 4 avril 2014, l’office a refusé de donner suite à la réquisition de poursuite déposée par la recourante et l’a invitée à lui faire parvenir une nouvelle réquisition conforme "aux prescriptions obligatoires quant à la forme et au contenu du commandement de payer et de la commination de faillite selon directives de l'Office fédéral de la justice". Ce faisant, il a refusé d’établir et de notifier un commandement de payer, acte qu’il était tenu d’accomplir au bénéfice de la recourante à réception de la réquisition de poursuite, selon les art. 69 à 71 LP. En outre, il a exposé les motifs de son refus. Cette décision constitue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15 avril 2014 a été formée en temps utile. Elle est dès lors formellement et matériellement recevable. III. La recourante fait valoir que les instructions de l'OFJ aux offices de poursuites et de faillites ne sont que des directives, soit des ordonnances administratives qui ne sauraient être appliquées en violation de la loi et, dans le cas d’espèce, en violation de l’art. 67 LP. IV. a) L’art. 67 al. 1 LP prévoit que la réquisition de poursuite est adressée à l’office par écrit ou verbalement et qu’elle énonce en substance : le nom et le domicile du créancier (ch. 1), le nom et le domicile du débiteur (ch. 2), le montant en valeur légale suisse de la</w:t>
      </w:r>
    </w:p>
    <w:p>
      <w:r>
        <w:t>- 8 -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w:t>
      </w:r>
    </w:p>
    <w:p>
      <w:r>
        <w:t>- 9 -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w:t>
      </w:r>
    </w:p>
    <w:p>
      <w:r>
        <w:t>- 10 - 43 ad art. 67 LP; Ruedin, Commentaire romand de la LP, n. 34 ad art. 67 LP). bb) En plus des exigences quant au contenu de la réquisition de poursuite, l’art. 67 LP prévoit qu’elle peut être adressée à l'office sous deux</w:t>
      </w:r>
    </w:p>
    <w:p>
      <w:r>
        <w:t>- 11 -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 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w:t>
      </w:r>
    </w:p>
    <w:p>
      <w:r>
        <w:t>- 12 - 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w:t>
      </w:r>
    </w:p>
    <w:p>
      <w:r>
        <w:t>- 13 -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w:t>
      </w:r>
    </w:p>
    <w:p>
      <w:r>
        <w:t>- 14 - directement les renseignements nécessaires (ATF 109 III 6; 102 III 133; 90 III 10; 47 III 123; 29 I 569; Gilliéron, loc. cit.; Ruedin, loc. cit.; Kofmel Ehrenzeller, loc. cit.; Ammon/Walther, Grundriss des Schuldbetreibungs- und Konkursrechts, 7e éd. 2003, § 16 N 4). b)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c) L’office a néanmoins refusé de le faire en invoquant des "prescriptions obligatoires quant à la forme et au contenu du commandement de payer et de la commination de faillite" imposées par des directives de l'OFJ, savoir, en résumé : limitation du nombre des créances à dix au maximum, limitation du nombre de caractères de la mention de la cause de l'obligation, mention d'un seul taux d'intérêt et pas de mention d'acomptes.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1er mai 2014, soit après que l’office a pris la décision en cause. Elle ne pouvait donc pas servir de fondement juridique à cette décision. bb) Il apparaît que la modification du formulaire de commandement de payer a été anticipée par le biais du projet "e-LP";</w:t>
      </w:r>
    </w:p>
    <w:p>
      <w:r>
        <w:t>- 15 -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1er mai 2014, afin de justifier cette modification dans les cantons qui l’auraient intégrée de fait avant cette date en mettant en oeuvre la version 2.0. L’entrée en vigueur de telles modifications par le</w:t>
      </w:r>
    </w:p>
    <w:p>
      <w:r>
        <w:t>- 16 - biais de l’informatique ne pouvait pas non plus se justifier a posteriori, par l’introduction de l’Instruction no 2 du 15 avril 2014, dont le chiffre 21 dispose que :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3e éd., Berne 2012, nn. 2.4.3.1. et 2.4.3.2). Aucune de ces deux conditions n'est remplie en l'espèce. dd)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w:t>
      </w:r>
    </w:p>
    <w:p>
      <w:r>
        <w:t>- 17 -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w:t>
      </w:r>
    </w:p>
    <w:p>
      <w:r>
        <w:t>- 18 -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d) Il résulte de ce qui précède que ni l’ordonnance sur la communication électronique LP ni l'Instruction n° 2 ne peuvent constituer des bases légales pour la décision litigieuse. En définitive, les art. 67 LP et 3 al. 2 Oform ayant été violés, la plainte est bien fondée. VI. Le recours doit ainsi être admis et le prononcé réformé en ce sens que la plainte est admise et le dossier renvoyé à l’office intimé pour qu’il établisse et notifie le commandement de payer relatif à la réquisition de poursuite de la recourante, conformément aux art. 69 à 71 LP, une fois que la recourante aura avancé les frais de la poursuite au sens de l’art. 68 LP. Le présent arrêt est rendu sans frais ni dépens (art. 20a al. 2 ch. 5 LP; 61 al. 2 let. a et 62 al. 2 OELP [ordonnance sur les émoluments perçus en application de la LP; RS 281.35]).</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