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FA09.027997 vom 23. Februar 2004</w:t>
      </w:r>
    </w:p>
    <w:p>
      <w:r>
        <w:t>VD Tribunal cantonal, 2004-02-23, FR</w:t>
      </w:r>
    </w:p>
    <w:p>
      <w:r>
        <w:rPr>
          <w:b/>
        </w:rPr>
        <w:t xml:space="preserve">Quelle: </w:t>
      </w:r>
      <w:r>
        <w:t>https://mcp.opencaselaw.ch/entscheid/vd_gerichte_FA09.027997</w:t>
      </w:r>
    </w:p>
    <w:p>
      <w:r>
        <w:t>FR: VD_GERICHTE FA09.027997 du 23 février 2004</w:t>
      </w:r>
    </w:p>
    <w:p>
      <w:r>
        <w:t>IT: VD_GERICHTE FA09.027997 del 23 febbraio 2004</w:t>
      </w:r>
    </w:p>
    <w:p>
      <w:pPr>
        <w:pStyle w:val="Heading2"/>
      </w:pPr>
      <w:r>
        <w:t>Erwägungen</w:t>
      </w:r>
    </w:p>
    <w:p>
      <w:r>
        <w:rPr>
          <w:b/>
        </w:rPr>
        <w:t>E. 23</w:t>
      </w:r>
    </w:p>
    <w:p>
      <w:r>
        <w:t>février 2004/7 et les arrêts cités), que la question de la saisie des biens du débiteur sera examinée par l'autorité inférieure de surveillance dans le cadre de la plainte, que le présent recours est ainsi irrecevable; considérant que la présente décision est rendue sans frais.</w:t>
      </w:r>
    </w:p>
    <w:p>
      <w:r>
        <w:t>- 3 -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