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ET20.039971 vom 1. Juni 2022</w:t>
      </w:r>
    </w:p>
    <w:p>
      <w:r>
        <w:t>VD Tribunal cantonal, 2022-06-01, FR</w:t>
      </w:r>
    </w:p>
    <w:p>
      <w:r>
        <w:rPr>
          <w:b/>
        </w:rPr>
        <w:t xml:space="preserve">Quelle: </w:t>
      </w:r>
      <w:r>
        <w:t>https://mcp.opencaselaw.ch/entscheid/vd_gerichte_ET20.039971</w:t>
      </w:r>
    </w:p>
    <w:p>
      <w:r>
        <w:t>FR: VD_GERICHTE ET20.039971 du 1 juin 2022</w:t>
      </w:r>
    </w:p>
    <w:p>
      <w:r>
        <w:t>IT: VD_GERICHTE ET20.039971 del 1 giugno 2022</w:t>
      </w:r>
    </w:p>
    <w:p>
      <w:pPr>
        <w:pStyle w:val="Heading2"/>
      </w:pPr>
      <w:r>
        <w:t>Erwägungen</w:t>
      </w:r>
    </w:p>
    <w:p>
      <w:r>
        <w:rPr>
          <w:b/>
        </w:rPr>
        <w:t>E. 6.1</w:t>
      </w:r>
    </w:p>
    <w:p>
      <w:r>
        <w:t>Le recourant fait grief à l'autorité précédente d'avoir déclaré irrecevable la conclusion V de sa requête tendant à ce qu'ordre soit donné aux exécuteurs testamentaires de gérer le portefeuille détenu par la succession selon certains principes, ainsi que la conclusion VI tendant à ce qu'un délai leur soit imparti pour restructurer le portefeuille conformément à ces principes. La juge de paix a considéré que ces conclusions paraissaient en étroite connexité avec celle relative au dommage que les exécuteurs testamentaires auraient causé par une gestion déficitaire et défectueuse des deniers successoraux, que ces questions étaient intrinsèquement liées entre elles, que leur sort était interdépendant et que leur instruction incombait à une seule et même juridiction, si bien qu'elles relevaient de la seule compétence du juge de l'action en responsabilité des exécuteurs testamentaires. Le recourant conteste ce raisonnement en soutenant que ses conclusions viseraient uniquement à préserver les actifs successoraux en traçant un cadre de gestion et que la surveillance d'une gestion conservatrice incomberait bien à l'autorité de surveillance. Dans leur réponse, les intimés 1 et 2 appuient la motivation de l'autorité précédente en relevant que les critiques de leur gestion passée par le recourant devraient faire, le cas échéant, l'objet d'une action en responsabilité à leur encontre. Pour le surplus, ils soulignent que l'autorité de surveillance devrait faire preuve de retenue, respecter leur large pouvoir d'appréciation et n'intervenir qu'en cas d'abus manifeste, alors que, dans le cas particulier, il ne serait pas établi que leur gestion mettrait en péril la substance des actifs successoraux, en précisant que des fluctuations de valeur de titres devraient être supportées par les héritiers.</w:t>
      </w:r>
    </w:p>
    <w:p>
      <w:r>
        <w:t>- 31 - Les intimés 4 et 5 partagent la position des exécuteurs testamentaires et relèvent que la gestion de ceux-ci aurait été diligente et soigneuse puisqu'ils auraient réalisé un gain de 7.7 %, soit le double du montant avancé par le recourant.</w:t>
      </w:r>
    </w:p>
    <w:p>
      <w:r>
        <w:rPr>
          <w:b/>
        </w:rPr>
        <w:t>E. 6.2</w:t>
      </w:r>
    </w:p>
    <w:p>
      <w:r>
        <w:t>En principe, l'exécuteur testamentaire a les droits et les devoirs de l'administrateur officiel d'une succession (art. 518 al. 1 CC). Il est notamment chargé de gérer la succession en agissant au mieux des intérêts de celle-ci ; il jouit à cet égard d'un grand pouvoir d'appréciation, limité d'une part par le droit de recours des héritiers à l'autorité de surveillance, d'autre part, par son devoir de diligence sanctionné par sa responsabilité à leur égard (ATF 142 III 9 consid. 4.3.1 in fine et les références citées).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(TF 5A_488/2018 du 10 mai 2019 consid. 4.4.2.1 ; TF 5A 414/2012 du 19 octobre 2012 consid. 4.1 et les références citées ; Piller, op. cit., nn. 172-173 ad art. 518 CC). L'autorité de surveillance vérifie les mesures prises ou projetées par l'exécuteur testamentaire ; elle dispose à cet égard d'un large pouvoir d'appréciation (Abt, Der Willensvollstrecker aus Sicht des Erben : "il buono, il brutto o il cattivo", PJA 2018, p. 1315 n. 9). Quant aux questions de droit matériel, elles demeurent du ressort des tribunaux ordinaires (ATF 90 II 376 consid. 3 ; ATF 84 II 324 ATF 66 II 148 ; TF 5A_55/2016 du 11 avril 2016 consid. 3.1 ; TF 5A_195/2013 du 9 juillet 2013 consid. 2.2.6 ; sur le tout : TF 5A_20/2019 du 20 juin 2019 consid. 3). Dans l'ATF 142 III 9, rendu en matière de responsabilité d'exécuteur testamentaire, le Tribunal fédéral a rappelé les principes suivants : « 5.2.1 Lorsque la valeur de la succession est importante, et en particulier lorsque la succession comprend des titres, l'exécuteur</w:t>
      </w:r>
    </w:p>
    <w:p>
      <w:r>
        <w:t>- 32 - testamentaire doit définir une stratégie de placement pour la durée de son activité (KÜNZLE, Berner Kommentar, op. cit., n° 133 p. 169 ad art. 517-518 CC), à tout le moins dans l'hypothèse où les héritiers ne se seraient pas mis d'accord sur une nouvelle stratégie, et où, par ailleurs, le défunt n'aurait donné aucune instruction à ce sujet (KÜNZLE, Berner Kommentar, op. cit., n° 165 p. 179 ad art. 517-518 CC; cf. aussi THOMAS GEISER, Sorgfalt in der Vermögensverwaltung durch den Willensvollstrecker, successio 2007 p. 182; WÜRMLIN, op. cit., p. 228). L'exécuteur testamentaire dispose à cet égard d'une certaine liberté d'appréciation, mais doit fonder sa stratégie sur des critères objectifs (arrêt 5P.440/2002 du 23 décembre 2002 consid. 2.3; à propos de la liberté d'appréciation, parmi plusieurs PETER BREITSCHMID, Die Stellung des Willensvollstreckers in der Erbteilung, in Gesammelte Schriften aus Anlass seines 60. Geburtstages, 2014, p. 349). Il doit garder à l'esprit qu'il lui incombe de conserver au mieux la substance de la succession (cf. pour le surplus supra consid. 4.3.1) mais aussi, en principe, de remettre aux héritiers la succession en nature (GEISER, op. cit., p. 183; KARRER/VOGT/LEU, op. cit., n° 27a ad art. 518 CC). Lorsqu'il définit la stratégie de placement, il doit aussi tenir compte, dans son appréciation, de la capacité de la succession, respectivement des héritiers, de prendre des risques, de l'importance de la succession et des besoins de liquidités (HANS RAINER KÜNZLE, Die Anlagestrategie des Willensvollstreckers [ci-après: Die Anlagestrategie], successio 2009 p. 54-55). La nécessité de conserver la substance de la succession et l'horizon de temps limité à disposition pour liquider la succession ont pour conséquence une capacité réduite en matière de prise de risque (GEISER, op. cit., p. 181; WÜRMLIN, op. cit., p. 228). Dans le cadre de la définition de la stratégie de placement, l'exécuteur testamentaire doit aussi prendre en compte la durée prévisible de la liquidation (jusqu'au partage), qu'il lui appartient d'évaluer (KÜNZLE, Die Anlagestrategie, op. cit., p. 55). En l'absence d'indices particuliers à cet égard, il peut s'attendre à ce que, suivant l'importance de la succession, la liquidation soit terminée en l'espace d'un à trois ans (KÜNZLE, Die Anlagestrategie, op. cit., p. 55). Enfin, dans la mesure du possible, la stratégie de placement devrait également prendre en considération la manière dont les héritiers prévoient d'utiliser leur part de la succession au terme du partage (WÜRMLIN, op. cit., p. 228). Au regard des différents critères précités, selon les circonstances, l'exécuteur testamentaire devra adapter la stratégie de placement, en d'autres termes, adopter une stratégie différente de celle du défunt (KARRER/VOGT/LEU, op. cit., n° 29a ad art. 518 CC; GEISER, op. cit., p. 181 s.); parfois, en revanche, il pourra maintenir la stratégie de placement du disposant (KÜNZLE, Berner Kommentar, op. cit., n° 166 p. 179 ad art. 517-518 CC; GEISER, op. cit., p. 181 s.), sans que l'on ne puisse lui reprocher d'avoir excédé son pouvoir d'appréciation. En effet, la restructuration du patrimoine engendre en principe des coûts importants (KÜNZLE, Berner Kommentar, op. cit., n° 166 p. 179 s. ad art. 517-518 CC), de sorte qu'elle n'est pas forcément apte à maintenir la substance de la succession; il n'est donc pas toujours judicieux pour l'exécuteur testamentaire, en présence d'un patrimoine composé d'actions solides, de le restructurer de manière conservatoire (dans le même sens CHRIST/EICHNER, op. cit., n° 50 ad art. 518 CC). Il en résulte que, selon les circonstances, dans une optique de conservation générale</w:t>
      </w:r>
    </w:p>
    <w:p>
      <w:r>
        <w:t>- 33 - de la valeur de la succession, les héritiers doivent pouvoir supporter, jusqu'au partage, des fluctuations de la valeur des titres (PETER BREITSCHMID, op. cit., n. 12.3 p. 355; KÜNZLE, Berner Kommentar, op. cit., n° 166 p. 180 ad art. 517-518 CC). Cependant, s'il devient nécessaire de réinvestir ou de liquider certains éléments du portefeuille pour obtenir des liquidités, l'exécuteur devra tendre vers une stratégie de conservation du revenu et du capital ("Einkommen und reale Kapitalerhaltung"; KÜNZLE, Die Anlagestrategie, op. cit., p. 59: selon cet auteur, il faudrait ainsi tendre vers une composition du portefeuille à raison de 15-35 % d'actions, 65-85 % d'obligations, et moins de 50 % de devises étrangères). 5.2.2 En vertu de son devoir général d'information (cf. supra consid. 4.3.2) dans le cadre de la gestion de titres, l'exécuteur testamentaire doit informer les héritiers de la composition du portefeuille, de la stratégie de placement adoptée par le de cujus et des mesures qu'il envisage de prendre (KÜNZLE, Berner Kommentar, op. cit., n° 217 p. 200 et n° 219 p. 202 ad art. 517-518 CC). Dans l'hypothèse où tous les héritiers exprimeraient une position commune, l'exécuteur testamentaire devrait, dans la mesure du possible, en tenir compte, bien que les héritiers n'aient pas le pouvoir de lui donner des instructions (KARRER/VOGT/LEU, op. cit., n° 27a ad art. 518 CC; KÜNZLE, Die Anlagestrategie, op. cit., p. 53). Lorsqu'il vend des biens de la succession pour générer des liquidités afin de payer les dettes, l'exécuteur testamentaire doit en principe tenir compte des souhaits des héritiers et des besoins de la succession (GEISER, op. cit., p. 181). Le devoir d'information est violé si l'exécuteur testamentaire refuse de donner des renseignements aux héritiers (KÜNZLE, Berner Kommentar, op. cit., n° 217 p. 200 ad art. 517-518 CC). 5.2.3 S'il outrepasse le pouvoir d'appréciation dont il dispose concernant la stratégie de placement, l'exécuteur testamentaire engage sa responsabilité civile (KÜNZLE, Berner Kommentar, op. cit., n° 175 p. 183 ad art. 517-518 CC). Pour déterminer si la stratégie adoptée était conforme aux devoirs de l'exécuteur testamentaire, il faut se placer au moment où elle a été adoptée ou devait être modifiée. Les héritiers ne sauraient reprocher une quelconque violation de ses devoirs à l'exécuteur testamentaire sur la base d'informations qui n'étaient pas disponibles à ce moment-là, par exemple, la variation future et imprévisible des cours de la bourse (BREITSCHMID, op. cit., n. 12.3 p. 355). »</w:t>
      </w:r>
    </w:p>
    <w:p>
      <w:r>
        <w:rPr>
          <w:b/>
        </w:rPr>
        <w:t>E. 6.3.1</w:t>
      </w:r>
    </w:p>
    <w:p>
      <w:r>
        <w:t>En l'espèce, la gestion des biens successoraux se situe dans un contexte particulier : alors que F.R.________ est décédé le [...] 2011, une décennie plus tard sa succession n'est pas près d'être partagée en raison de l'importance du litige, amorcé du vivant du de cujus, qui oppose le recourant aux cinq autres héritiers, dont la veuve usufruitière, et qui se traduit par des obstacles à arrêter la masse et les droits de chacun matérialisés dans des procédures coûteuses, longues et incessantes dans</w:t>
      </w:r>
    </w:p>
    <w:p>
      <w:r>
        <w:t>- 34 - plusieurs pays. Cette durée inhabituelle a une incidence certaine sur la gestion à mener qui ne peut tendre à répartir les biens à moyenne échéance, mais qui doit aussi veiller aux intérêts de l'usufruitière. De plus, la gestion effectuée jusqu'alors a été tacitement approuvée par cinq héritiers sur six. Le recourant a expressément allégué dans sa requête du 14 septembre 2020 que les exécuteurs avaient causé fautivement au patrimoine de la succession une perte sur les titres et le change de 4'998'823 fr. (all. 554 et 556). Comme l'a vu l'autorité précédente, les critiques du recourant portant sur des années de gestion comportant des crises boursières générales, dans un domaine aussi complexe que la gestion de titres, relèvent de l'action en responsabilité des exécuteurs nécessitant une instruction complète, notamment l'avis d'experts. Le recourant ne se plaint pas ici d'une violation de son droit à l'information, mais entend imposer des règles de gestion aux exécuteurs testamentaires. A cet égard, l'autorité de surveillance n'a pas relevé, à juste titre, de violation flagrante du devoir de gestion lui imposant d'intervenir en donnant des directives aux intimés 1 et 2. En particulier, l'objectif des exécuteurs testamentaires de maintenir la substance de la succession, tout en réglant les dettes et les frais, et en assurant à l'usufruitière des revenus lui permettant de maintenir son train de vie, conformément à la ligne tracée par le de cujus, paraît globalement avoir été suivi sur la durée, compte tenu des fluctuations boursières. Partant, à supposer même que les conclusions litigieuses du recourant soient recevables, elles seraient mal fondées.</w:t>
      </w:r>
    </w:p>
    <w:p>
      <w:r>
        <w:rPr>
          <w:b/>
        </w:rPr>
        <w:t>E. 6.3.2</w:t>
      </w:r>
    </w:p>
    <w:p>
      <w:r>
        <w:t>Le recourant invoque également une constatation manifestement inexacte des faits au sens de l'art. 320 let. b CPC, pour le motif que la décision attaquée ne reprendrait pas dans son état de fait les allégués 343 à 555 de sa requête, ni les pièces 2, 7, 41 à 62 et 166 censées les prouver, au travers desquels il entendait établir que la gestion avait dérivé vers des placements hautement spéculatifs pour servir des</w:t>
      </w:r>
    </w:p>
    <w:p>
      <w:r>
        <w:t>- 35 - rendements à l'usufruitière et que le portefeuille avait accusé une perte de plus de 27% du 1er janvier 2018 au 31 juillet 2020. L'état de fait de la décision ne comprend toutefois pas davantage les allégués 812 à 885 de la réponse des exécuteurs testamentaires du 7 décembre 2020 et les pièces produites à leur appui pour réfuter la thèse du requérant et justifier la gestion. Cette double exclusion tient à l'irrecevabilité des conclusions relatives à la gestion qui ne relèvent pas dans le cas présent du juge de la surveillance, mais du juge de la responsabilité. Ne pas alourdir l'état de fait par un état de fait (litigieux) inutile ne s'avère pas constitutif d'une constatation arbitraire des faits et des preuves.</w:t>
      </w:r>
    </w:p>
    <w:p>
      <w:r>
        <w:rPr>
          <w:b/>
        </w:rPr>
        <w:t>E. 6.3.3.1</w:t>
      </w:r>
    </w:p>
    <w:p>
      <w:r>
        <w:t>A l'appui de sa requête du 14 septembre 2020, le requérant avait requis l'audition de trois témoins ainsi que la production des pièces 101 à 171, soit 71 pièces, essentiellement en mains des intimés 1 et 2, mais également, dans une moindre mesure, en mains de l’intimée 3 et de la société [...]. Ces réquisitions ont été formulées notamment en lien avec les allégués selon lesquels les intimés 1 et 2 feraient preuve d’une gestion fautive et dommageable des titres de la succession. L'autorité précédente a rejeté toutes ces réquisitions par avis du 13 avril 2021, en indiquant qu'elles pourraient être renouvelées à l'audience et que lors de celle-ci serait également débattue la requête d'expertise présentée par les exécuteurs testamentaires. A l'audience du 8 juin 2021, après avoir longuement entendu les parties, la juge de paix a rejeté l'ensemble des réquisitions du recourant qu'il avait renouvelées à cette occasion. Le recourant critique le rejet – non motivé – de ses réquisitions de preuve. Il invoque une violation de son droit à la preuve, de son droit à une décision motivée et du principe de l'interdiction de l'arbitraire.</w:t>
      </w:r>
    </w:p>
    <w:p>
      <w:r>
        <w:rPr>
          <w:b/>
        </w:rPr>
        <w:t>E. 6.3.3.2</w:t>
      </w:r>
    </w:p>
    <w:p>
      <w:r>
        <w:t>Selon l'art. 150 al. 1 CPC, la preuve a pour objet les faits pertinents et contestés. Est pertinent un fait de nature à influencer la</w:t>
      </w:r>
    </w:p>
    <w:p>
      <w:r>
        <w:t>- 36 - solution juridique du litige (TF 4A_287/2018 du 30 janvier 2019 consid. 4.2.1 ; TF 5A_892/2014 du 18 mai 2015 consid. 2.2, publié in RSPC 2015 p. 411 ; TF 4A_229/2012 du 19 juillet 2012 consid. 4). Le droit à la preuve – comme le droit à la contre-preuve – suppose qu'un fait doive être prouvé (art. 150 al. 1 CPC), qu'il soit pertinent, qu'il ne soit pas déjà prouvé, qu'il soit allégué de manière suffisamment motivée, que la preuve en ait été régulièrement offerte en temps utile selon les règles de la procédure et que les moyens de preuve soient admissibles et adéquats (ATF 143 III 297 consid. 9.3.2 ; ATF 135 III 295 consid. 7.1 ; TF 5A_753/2018 du 1er juillet 2019 consid. 2.1.1.1 ; TF 5A_113/2018 du 12 septembre 2018 consid. 4.2.1.1, non publié à l’ATF 144 III 541).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(ATF 131 I 153 consid. 3 ; ATF 129 III 18 consid. 2.6 ; TF 5A_714/2013 du 4 novembre 2013 consid. 4.3.1). Une motivation implicite, résultant des différents considérants de la décision, suffit à respecter le droit d’être entendu (ATF 141 V 557 consid. 3.2.1 ; TF 5A_278/2012 du 14 juin 2012 consid. 4.1). L'essentiel est que la décision indique clairement les faits qui sont établis et les déductions juridiques qui sont tirées de l'état de fait déterminant (ATF 142 II 154 consid. 4.2 ; TF 5A_570/2017 du 27 août 2018 consid. 4.2).</w:t>
      </w:r>
    </w:p>
    <w:p>
      <w:r>
        <w:rPr>
          <w:b/>
        </w:rPr>
        <w:t>E. 6.3.3.3</w:t>
      </w:r>
    </w:p>
    <w:p>
      <w:r>
        <w:t>En l'occurrence, dès lors que la juge de paix avait acquis la conviction de l'irrecevabilité des conclusions du recourant tendant à imposer des règles de gestion de titres aux exécuteurs testamentaires, les faits tendant à établir la prétendue gestion fautive et dommageable des intimés 1 et 2 n'étaient pas pertinents et leur preuve inutile. Il en résulte que le droit à la preuve du recourant n'a pas été violé par le refus du juge</w:t>
      </w:r>
    </w:p>
    <w:p>
      <w:r>
        <w:t>- 37 - d'entendre des témoins et de faire produire une multitude de pièces. L'irrecevabilité des conclusions constituait le motif implicite de ce refus, ce que le recourant et son conseil avaient forcément compris.</w:t>
      </w:r>
    </w:p>
    <w:p>
      <w:r>
        <w:rPr>
          <w:b/>
        </w:rPr>
        <w:t>E. 7.1</w:t>
      </w:r>
    </w:p>
    <w:p>
      <w:r>
        <w:t>Le recourant fait grief à la juge de paix d'avoir rejeté la conclusion IIe de sa requête tendant à ce qu'ordre soit donné aux exécuteurs testamentaires de corriger les comptes de la succession, dès l’exercice 2011, de manière à faire ressortir clairement les revenus nets à comptabiliser en faveur de l'intimée 3, usufruitière, et de corriger en conséquence le compte courant de cette dernière dans les livres de la succession. L'autorité précédente a rejeté cette conclusion, d'une part, au motif que le calcul à effectuer pour déterminer l'étendue du legs d'usufruit (art. 530 CC) devrait intégrer la composition ou la valeur du patrimoine grevé alors que dans le cas d'espèce la composition de la masse n'était pas établie et comportait de multiples inconnues, d'autre part, au motif que les comptes successoraux tels que tenus permettaient de retracer les montants perçus par l'usufruitière. Le recourant objecte à cette motivation qu'il ne s'agirait pas à ce stade de procéder au calcul de la valeur capitalisée de l'usufruit en vue du partage, mais uniquement de comptabiliser les revenus véritablement tirés du patrimoine soumis à l'usufruit, ainsi que les charges acquittées par l'usufruitière.</w:t>
      </w:r>
    </w:p>
    <w:p>
      <w:r>
        <w:rPr>
          <w:b/>
        </w:rPr>
        <w:t>E. 7.2</w:t>
      </w:r>
    </w:p>
    <w:p>
      <w:r>
        <w:t>En l'espèce, comme certains des intimés le relèvent, le recourant indique dans ses propres écritures (notamment en p. 13 in fine du recours) les montants, tirés des comptes de la succession, qui ont été versés à sa mère, si bien qu'il n'a pas d'intérêt à faire modifier la comptabilité dans le sens qu'il indique.</w:t>
      </w:r>
    </w:p>
    <w:p>
      <w:r>
        <w:t>- 38 - Pour le surplus, déterminer, au stade du partage, les parts de chacun et l'usufruit versé à l'intimée 3 nécessitera bien évidemment de déterminer au préalable la composition de la masse, question indécise en l'état. Il n'y a dès lors pas matière à modifier la comptabilisation. Le recourant conclut également à l'annulation, en relevant que la juge de paix n'a pas intégré ses allégués 265 à 342 à l'état de fait de sa décision. L'autorité précédente n'a pas davantage intégré dans l'état de fait les allégués symétriques des intimés. Cela étant, elle a expressément indiqué que dans la mesure où il n'appartenait pas au juge de paix de déterminer la valeur du droit d'usufruit de la bénéficiaire, il ne pouvait pas être statué sur le bien-fondé des versements opérés à ce titre en faveur de cette dernière et les allégués soutenus par le recourant étaient à ce sujet sans pertinence (décision p. 35). On constate ainsi que la juge de paix a motivé son refus d'intégrer les faits allégués dans sa décision et que les faits en question n'étaient pas propres à modifier sa décision. Le grief doit être rejeté.</w:t>
      </w:r>
    </w:p>
    <w:p>
      <w:r>
        <w:rPr>
          <w:b/>
        </w:rPr>
        <w:t>E. 8.1</w:t>
      </w:r>
    </w:p>
    <w:p>
      <w:r>
        <w:t>Le recourant reproche à l'autorité précédente d'avoir rejeté la conclusion III de sa requête tendant à ce qu’interdiction soit faite aux exécuteurs testamentaires de financer, au moyen des fonds de la succession, les frais d'avocat et de justice en lien avec la procédure en pétition d'hérédité dirigée contre lui, pendante devant la Chambre patrimoniale cantonale, ainsi qu'en lien avec les procédures d'appel, de recours ou incidentes qui pourraient en découler ou y être liées. La juge de paix a rejeté cette conclusion en se référant à ses décisions antérieures des 10 décembre 2012 et 28 avril 2017 et en soulignant qu'il ne lui appartenait pas de se prononcer sur la qualité pour agir des parties dans des procès distincts, ni de procéder à l'instruction de ceux-ci dès lors que ces problématiques ne relevaient pas de son champ de compétence, tout en indiquant que mener un procès pour reconstituer</w:t>
      </w:r>
    </w:p>
    <w:p>
      <w:r>
        <w:t>- 39 - la masse successorale entrait dans la mission des exécuteurs testamentaires. Le recourant objecte que si l'exécuteur testamentaire peut utiliser les actifs successoraux pour mener un procès comme exécuteur testamentaire, il ne pourrait pas le faire pour mener un procès censé favoriser ses propres intérêts d'héritier.</w:t>
      </w:r>
    </w:p>
    <w:p>
      <w:r>
        <w:rPr>
          <w:b/>
        </w:rPr>
        <w:t>E. 8.2</w:t>
      </w:r>
    </w:p>
    <w:p>
      <w:r>
        <w:t>En l'espèce, il résulte de la demande produite au dossier que la procédure pendante auprès de la Chambre patrimoniale cantonale est une action en pétition d'hérédité (art. 598 CC) et en demande de renseignements (art. 610 al. 2 CC) ouverte par la succession, au nom de qui agissent les deux exécuteurs testamentaires, contre le recourant et les sociétés P.________, I.________ et [...]. La conclusion du recourant repose sur son affirmation que les exécuteurs testamentaires n'auraient pas la qualité pour agir dans ce procès patrimonial. Toutefois, certains auteurs affirment qu'ils ont cette qualité, sans restriction (Bohnet, Actions civiles, vol. I, 2e éd., Bâle 2019, § 36, n. 29 et les références citées). De plus, le recourant admet que c'est au juge de l'action en pétition d'hérédité qu'il incombera de trancher la question de la qualité pour agir, tout en exigeant paradoxalement de l'autorité de surveillance des exécuteurs testamentaires qu'elle interdise le financement de ce procès par des prélèvements sur les actifs de la succession en tranchant préalablement la même question qui n'est pourtant pas de son ressort. Dans le contexte de la surveillance, l'élément déterminant est que les exécuteurs testamentaires agissent contre un héritier et trois sociétés pour rétablir les avoirs successoraux, soit dans l'intérêt de la succession, ce qui justifie de faire supporter le coût de ce procès à la succession. La décision doit donc être confirmée sur ce point. Subsidiairement, le recourant se plaint de ce que la décision ne fait pas état de certains de ses allégués relatifs notamment aux décisions judicaires ayant traité de la propriété des sociétés P.________ et I.________. Toutefois, on ne discerne pas en quoi ces faits auraient eu une</w:t>
      </w:r>
    </w:p>
    <w:p>
      <w:r>
        <w:t>- 40 - incidence décisive sur la question litigieuse. En tous les cas, le recourant ne démontre pas d'arbitraire dans la constatation des faits à cet égard.</w:t>
      </w:r>
    </w:p>
    <w:p>
      <w:r>
        <w:rPr>
          <w:b/>
        </w:rPr>
        <w:t>E. 9.1</w:t>
      </w:r>
    </w:p>
    <w:p>
      <w:r>
        <w:t>Le recourant fait grief à la juge de paix d'avoir rejeté la conclusion IV de sa requête, tendant à ce qu'interdiction soit faite aux exécuteurs testamentaires de prélever des avoirs de la succession pour payer les frais d'avocat et de justice générés par la procédure pendante devant les autorités judiciaires [...] quant au domaine de L.________ et les procédures d'appel, de recours ou incidentes qui pourraient en découler ou y être liées, ou par toute procédure relative à des actifs immobiliers sis en [...]. L'autorité précédente a rejeté cette conclusion, en ce qui concerne la procédure relative au domaine de L.________, parce que le jugement de la Cour d'appel de [...] du 20 juin 2018 avait définitivement réglé le litige et, en ce qui concerne toute procédure relative à des actifs immobiliers, parce que ce volet de la conclusion était trop abstrait et général, la composition de la masse étant incertaine et susceptible de comporter, à terme, des immeubles en [...]. Le recourant conteste cette motivation au motif que le litige immobilier de L.________ ne serait pas terminé et que le libellé final de sa conclusion ne serait pas général et abstrait dès lors que les exécuteurs testamentaires auraient admis tardivement que les comptes de la succession ne comportaient pas d'immeuble en [...].</w:t>
      </w:r>
    </w:p>
    <w:p>
      <w:r>
        <w:rPr>
          <w:b/>
        </w:rPr>
        <w:t>E. 9.2</w:t>
      </w:r>
    </w:p>
    <w:p>
      <w:r>
        <w:t>En l'espèce, l'arrêt de la Cour d'appel de [...] de 2018 n'a effectivement pas liquidé le partage du domaine de L.________ à la suite d'une donation intervenue du vivant du de cujus, mais a toutefois définitivement réglé la question de la « créance droit de superficie » du défunt que les exécuteurs testamentaires entendaient intégrer au patrimoine successoral.</w:t>
      </w:r>
    </w:p>
    <w:p>
      <w:r>
        <w:t>- 41 - La décision est donc exacte lorsqu'elle affirme que le litige est clos en ce qui concerne le volet entrant dans la mission des exécuteurs testamentaires. Pour le surplus, dans le cadre de la surveillance, il était indiqué de rejeter une conclusion générale en interdiction de financement de frais de litige immobilier en [...] formulée pour le futur et dont la pertinence ne pouvait être vérifiée. Enfin, le recourant invoque à nouveau une constatation inexacte des faits dès lors que ses allégués, notamment l'allégué 250, appuyés par des pièces requises relatives aux frais d'avocat engagés en [...], n'ont pas été repris dans l'état de fait de la décision. Comme indiqué ci-dessus, requis d'imposer une interdiction aux exécuteurs testamentaires dans le futur accomplissement de leur mission, la juge de paix a acquis la conviction que l'aspect du litige relatif au domaine de L.________ qui intéressait la succession était clos et qu'il n'y avait pas matière à interdire dans l'abstrait d'engager des frais d'avocats [...] dans d'éventuels litiges immobiliers indéterminés. Fort de cette conviction reposant sur une appréciation non arbitraire de l'inutilité des preuves requises, le magistrat était fondé à ne pas en ordonner la production dès lors qu'il était certain qu'elles ne pourraient pas l'amener à modifier son opinion (ATF 146 III 73 consid. 5.2.2 ; ATF 143 III 297 consid. 9.3.2 ; ATF 140 I 285 consid. 6.3 ; ATF 138 III 374 consid. 4.3.2).</w:t>
      </w:r>
    </w:p>
    <w:p>
      <w:r>
        <w:rPr>
          <w:b/>
        </w:rPr>
        <w:t>E. 10.1</w:t>
      </w:r>
    </w:p>
    <w:p>
      <w:r>
        <w:t>Invoquant une violation de l'art. 106 CPC, le recourant conteste la répartition des frais de première instance. Il fait valoir que sa conclusion Ilb aurait été entièrement admise et sa conclusion IIa partiellement. Il souligne également que grâce à sa requête, des corrections auraient été apportées à la comptabilisation des actifs. La juge de paix a retenu que si l'autorité avait été amenée à constater des erreurs commises par les administrateurs testamentaires et à leur donner des instructions, il n'en demeurait pas moins que la requête</w:t>
      </w:r>
    </w:p>
    <w:p>
      <w:r>
        <w:t>- 42 - du recourant était manifestement disproportionnée en considération des manquements relevés à l'égard des intimés 1 et 2, en soulignant que les conclusions de l'intéressé avaient toutes été rejetées ou déclarées irrecevables, excepté sa conclusion IIb, à laquelle il avait partiellement été fait droit. Le recourant a ainsi été considéré comme succombant au sens de l'art. 106 CPC. Les frais judiciaires ont dès lors été mis entièrement à sa charge et il a été condamné à verser aux intimés des dépens partiellement compensés pour tenir compte du sort respectif des conclusions des parties.</w:t>
      </w:r>
    </w:p>
    <w:p>
      <w:r>
        <w:rPr>
          <w:b/>
        </w:rPr>
        <w:t>E. 10.2</w:t>
      </w:r>
    </w:p>
    <w:p>
      <w:r>
        <w:t>Selon l'art. 106 CPC, les frais – soit les frais judiciaires et les dépens (art. 95 al. 1 CPC) – sont mis à la charge de la partie succombante (al. 1) ; lorsqu'aucune des parties n'obtient entièrement gain de cause, les frais sont répartis selon le sort de la cause (al. 2). Une partie succombe entièrement au sens de l'art. 106 al. 1 CPC même si les prétentions de son adversaire sont aussi rejetées dans une proportion minime, pour autant que celui-ci obtienne gain de cause sur le principe et l'essentiel des montants réclamés (CREC 5 août 2021/212 ; CREC 5 mai 2014/161). En général, le fait qu'une partie gagne ou perde à concurrence de quelques pourcents n'est pas pris en considération (TF 4A_171/2021 du 27 avril 2021 consid. 5.2 ; TF 5D_182/2017 du 31 octobre 2018 consid. 4.2.3). Est ainsi succombante la partie qui ne gagne partiellement que sur la question des frais (TF 5D_182/2017 du 31 octobre 2018 consid. 4.2.4).</w:t>
      </w:r>
    </w:p>
    <w:p>
      <w:r>
        <w:rPr>
          <w:b/>
        </w:rPr>
        <w:t>E. 10.3</w:t>
      </w:r>
    </w:p>
    <w:p>
      <w:r>
        <w:t>En l'espèce, sur les huit conclusions principales et les dix sous- conclusions prises par le recourant dans sa requête du 14 septembre 2020, l'autorité précédente n'en a alloué partiellement qu'une à l'intéressé, soit la conclusion IIb tendant à la suppression dans les comptes d'une créance en faveur de l'intimé 1. Quant à la conclusion IIa tendant à la suppression dans l'actif successoral comptabilisé des participations aux sociétés P.________ et I.________, elle n'a pas été allouée, mais la juge de</w:t>
      </w:r>
    </w:p>
    <w:p>
      <w:r>
        <w:t>- 43 - paix a précisé comment cet actif devait être présenté dans la comptabilité. On constate ainsi que le recourant n'a obtenu gain de cause que sur un point minime au regard du fait qu'il a amplement succombé sur peu ou prou tout ce qu'il avait requis. Dans ces conditions et au vu des principes rappelés ci-dessus, aucune violation de l'art. 106 CPC ne peut être reprochée à la juge de paix et la manière dont elle a réparti les frais ne prête pas le flanc à la critique.</w:t>
      </w:r>
    </w:p>
    <w:p>
      <w:r>
        <w:rPr>
          <w:b/>
        </w:rPr>
        <w:t>E. 11.1</w:t>
      </w:r>
    </w:p>
    <w:p>
      <w:r>
        <w:t>En définitive, le recours doit être rejeté et la décision confirmée.</w:t>
      </w:r>
    </w:p>
    <w:p>
      <w:r>
        <w:rPr>
          <w:b/>
        </w:rPr>
        <w:t>E. 11.2</w:t>
      </w:r>
    </w:p>
    <w:p>
      <w:r>
        <w:t>Vu l'issue du recours, les frais judiciaires de deuxième instance, arrêtés à 15'000 fr. (art. 74 al. 2 TFJC [Tarif des frais judiciaires civils du 28 septembre 2010 ; BLV 270.11.5]), seront mis à la charge du recourant (art. 106 al. 1 CPC). Le recourant devra en outre verser, à titre de dépens de deuxième instance, la somme de 5'000 fr. aux intimés 1 et 2, solidairement entre eux, la somme de 3'000 fr. à l'intimée 3 et la somme de 3'000 fr. aux intimés 4 et 5, solidairement entre eux. Par ces motifs, la Chambre des recours civile du Tribunal cantonal, prononce : I. Le recours est rejeté. II. La décision est confirmée.</w:t>
      </w:r>
    </w:p>
    <w:p>
      <w:r>
        <w:t>- 44 - III. Les frais judiciaires de deuxième instance, arrêtés à 15'000 fr. (quinze mille francs), sont mis à la charge du recourant A.R.________. IV. Le recourant A.R.________ doit verser, à titre de dépens de deuxième instance, la somme de 5'000 fr. (cinq mille francs) aux intimés B.R.________ et C.R.________, solidairement entre eux, la somme de 3'000 fr. (trois mille francs) à l’intimée D.R.________ et la somme de 3'000 fr. (trois mille francs) aux intimés X.________ et E.R.________, solidairement entre eux. V. L’arrêt est exécutoire. Le président : Le greffier : Du L'arrêt qui précède, dont la rédaction a été approuvée à huis clos, est notifié à : - Me François Logoz (pour A.R.________), - Me François Roux (pour B.R.________ et C.R.________), - Me Antoine Eigenmann (pour D.R.________), - Me Philippe Reymond (pour X.________ et E.R.________).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