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E520.029800 vom 17. August 2020</w:t>
      </w:r>
    </w:p>
    <w:p>
      <w:r>
        <w:t>VD Tribunal cantonal, 2020-08-17, FR</w:t>
      </w:r>
    </w:p>
    <w:p>
      <w:r>
        <w:rPr>
          <w:b/>
        </w:rPr>
        <w:t xml:space="preserve">Quelle: </w:t>
      </w:r>
      <w:r>
        <w:t>https://mcp.opencaselaw.ch/entscheid/vd_gerichte_E520.029800</w:t>
      </w:r>
    </w:p>
    <w:p>
      <w:r>
        <w:t>FR: VD_GERICHTE E520.029800 du 17 août 2020</w:t>
      </w:r>
    </w:p>
    <w:p>
      <w:r>
        <w:t>IT: VD_GERICHTE E520.029800 del 17 agosto 2020</w:t>
      </w:r>
    </w:p>
    <w:p>
      <w:pPr>
        <w:pStyle w:val="Heading2"/>
      </w:pPr>
      <w:r>
        <w:t>Erwägungen</w:t>
      </w:r>
    </w:p>
    <w:p>
      <w:r>
        <w:rPr>
          <w:b/>
        </w:rPr>
        <w:t>E. 1</w:t>
      </w:r>
    </w:p>
    <w:p>
      <w:r>
        <w:t>Par décision du 22 juillet 2020, le Dr [...], spécialiste FMH en psychiatrie à Aigle, a ordonné le placement médical à des fins d’assistance de M.________, né le [...] 1949, sur demande d’une infirmière du dispositif EMIR (Equipe Mobile d'Intervention Rapide) de la police, Mme [...]. Les motifs étaient : suspicion de rupture de traitement chez un patient ; décompensation sur un mode délirant avec refus de soins ambulatoires et risque auto- et hétéro-agressif.</w:t>
      </w:r>
    </w:p>
    <w:p>
      <w:r>
        <w:rPr>
          <w:b/>
        </w:rPr>
        <w:t>E. 1.1</w:t>
      </w:r>
    </w:p>
    <w:p>
      <w:r>
        <w:t>Le recours est dirigé contre une décision de la juge de paix statuant sur un appel au juge, au sens de l'art. 439 al. 1 ch. 1 CC (Code civil suisse du 10 décembre 1907 ; RS 210), formé par la personne faisant l'objet d'un placement à des fins d'assistance (art. 426 CC) ordonné par un médecin (art. 429 al. 1 CC).</w:t>
      </w:r>
    </w:p>
    <w:p>
      <w:r>
        <w:t>- 6 - Les dispositions régissant la procédure devant l'instance judiciaire de recours sont applicables par analogie (art. 439 al. 3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aI. 2 CC). Le recours doit être interjeté par écrit, mais n'a pas besoin d'être motivé (art. 450 aI. 3 et 450e al. 1 CC). Il suffit que le recourant manifeste par écrit son désaccord avec la mesure prise (Droit de la protection de l'enfant, Guide pratique COPMA 2017 [cité : Guide pratique COPMA 2017], n. 5.83, p. 181 ; Meier, Droit de la protection de l'adulte [cité : Meier, PAE],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w:t>
      </w:r>
    </w:p>
    <w:p>
      <w:r>
        <w:rPr>
          <w:b/>
        </w:rPr>
        <w:t>E. 1.3</w:t>
      </w:r>
    </w:p>
    <w:p>
      <w:r>
        <w:t>En l'espèce, interjeté en temps utile par la personne concernée, qui s’oppose à la mesure prise à son encontre, le recours est recevable. Le premier juge s’est déterminé par courrier du 12 août 2020, conformément à l’art. 450d CC.</w:t>
      </w:r>
    </w:p>
    <w:p>
      <w:r>
        <w:t>- 7 - 2.</w:t>
      </w:r>
    </w:p>
    <w:p>
      <w:r>
        <w:rPr>
          <w:b/>
        </w:rPr>
        <w:t>E. 2</w:t>
      </w:r>
    </w:p>
    <w:p>
      <w:r>
        <w:t>Par courrier du 27 juillet 2020, M.________ a formé appel contre la décision précitée. Par courrier du 3 août 2020, la Dre [...], Cheffe de clinique adjointe à la Fondation de Nant, Service de Psychiatrie et de psychothérapie, s’est prononcée en faveur du prolongement de quelques semaines du placement de M.________ en raison des facteurs personnels et épidémiologiques. Elle n’a pas pu se prononcer de manière plus précise quant à une probable date de sortie.</w:t>
      </w:r>
    </w:p>
    <w:p>
      <w:r>
        <w:rPr>
          <w:b/>
        </w:rPr>
        <w:t>E. 2.1.1</w:t>
      </w:r>
    </w:p>
    <w:p>
      <w:r>
        <w:t>La Chambre des curatelles, qui n'est pas tenue par les moyens et les conclusions des parties, examine d'office si la décision est affectée de vices d'ordre formel. Aux termes de l'art. 439 al. 1 ch. 1 CC, la personne concernée ou l'un de ses proches peut en appeler par écrit au juge, notamment en cas de placement ordonné par un médecin. Dans le canton de Vaud, le juge de paix du domicile de la personne concernée ou celui du lieu de l'établissement où la personne est placée où libérée connaît des appels au sens de l'art. 439 CC (art. 10 et 25 LVPAE).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(Meier, PAE, op. cit., n. 1327, p. 639). Il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429 al. 1 CC et 9 LVPAE)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[cité : CommFam], Protection de l'adulte, Berne 2013, n. 11 ad art. 439 CC, p. 783) ou le droit vaudois (art. 10 LVPAE).</w:t>
      </w:r>
    </w:p>
    <w:p>
      <w:r>
        <w:rPr>
          <w:b/>
        </w:rPr>
        <w:t>E. 2.1.2</w:t>
      </w:r>
    </w:p>
    <w:p>
      <w:r>
        <w:t>En l’espèce, M.________ a été entendu par la juge de paix en charge du dossier le 6 août 2020, puis par la Chambre de céans réunie en</w:t>
      </w:r>
    </w:p>
    <w:p>
      <w:r>
        <w:t>- 8 - collège le 17 août 2020, de sorte que son droit d’être entendu a été respecté.</w:t>
      </w:r>
    </w:p>
    <w:p>
      <w:r>
        <w:rPr>
          <w:b/>
        </w:rPr>
        <w:t>E. 2.2.1</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 Droese/Steck, Basler Kommentar, op. cit., n. 18 ad art. 450e CC, p. 2830). L'expert doit être indépendant et ne pas s'être déjà prononcé sur la maladie de l'intéressé dans une même procédure (Guillod, CommFam, op. cit., n. 40 ad art. 439 CC, p. 789 ; cf. sous l'ancien droit ATF 137 III 289 consid. 4.4 ; ATF 128 III 12 consid. 4a, JdT 2002 I 474 ; ATF 118 II 249 consid. 2a, JdT 1995 I 51 ; TF 5A_358/2010 du 8 juin 2010, résumé in Revue de la protection des mineurs et des adultes [RMA] 2010, p. 456).</w:t>
      </w:r>
    </w:p>
    <w:p>
      <w:r>
        <w:rPr>
          <w:b/>
        </w:rPr>
        <w:t>E. 2.2.2</w:t>
      </w:r>
    </w:p>
    <w:p>
      <w:r>
        <w:t>En l'espèce, la décision entreprise se base sur l’expertise établie le 5 août 2020 par le Dr ...][...], Chef de clinique adjoint au Centre d’expertises de Cery. Ce rapport a été établi dans le cadre de la présente procédure par un expert indépendant et spécialiste dans le domaine de la psychiatrie et de la psychothérapie. Il est aussi complet que possible compte tenu du refus de la personne concernée de délier ses médecins du secret médical. Répondant aux questions posées, ce rapport est conforme aux exigences jurisprudentielles. La décision peut être examinée sur le fond.</w:t>
      </w:r>
    </w:p>
    <w:p>
      <w:r>
        <w:rPr>
          <w:b/>
        </w:rPr>
        <w:t>E. 3</w:t>
      </w:r>
    </w:p>
    <w:p>
      <w:r>
        <w:t>CC).</w:t>
      </w:r>
    </w:p>
    <w:p>
      <w:r>
        <w:rPr>
          <w:b/>
        </w:rPr>
        <w:t>E. 3.1</w:t>
      </w:r>
    </w:p>
    <w:p>
      <w:r>
        <w:t>Le recourant se plaint d’être l’objet d’une mesure de placement injustifiée et souhaite qu’elle soit levée. Il fait valoir que le Dr [...] ne l'aurait pas « ausculté ». Il conteste avoir été agressif lors de l’intervention de la police et propose l'audition d'un témoin. Il soutient par ailleurs que si l'expert n’est pas en mesure de formuler de conclusions formelles, c'est parce qu'il n'a pris « pratiquement aucune note de (ses) dires ». Il admet avoir besoin de son traitement de lithium (Priadel), mais est en désaccord avec les médecins de Nant quant à la dose à prendre. En effet, on exigerait de lui qu’il prenne deux comprimés quand il soutient, analyses sanguines − produites au juge de paix − à l'appui, qu'un seul serait suffisant.</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PAE, op. cit., n. 1191, p. 577 ; Guide pratique COPMA 2012, n. 10.6, p. 245). Cet article reprend la systématique de l'art. 397a aCC et les conditions matérielles du placement sont en substance les mêmes (JdT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w:t>
      </w:r>
    </w:p>
    <w:p>
      <w:r>
        <w:t>- 10 - état d'abandon), un besoin d'assistance ou de traitement ne pouvant être fourni autrement et l'existence d'une institution appropriée permettant de satisfaire les besoins d'assistance de la personne placée ou de lui apporter le traitement nécessaire (Meier, PAE, op. cit., n. 1189, p. 576).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PAE, op. cit., n. 1199, p. 581 ; Guide pratique COPMA 2012, n. 10.7, pp. 245-246). Une mesure restrictive est notamment disproportionnée si une mesure plus douce est à même de produire le résulté escompté. L'atteinte, dans ses aspects matériel, spatial et temporel, ne doit pas être plus rigoureuse que nécessaire (TF 5A_564/2008 du 1er octobre 2008 consid. 3).</w:t>
      </w:r>
    </w:p>
    <w:p>
      <w:r>
        <w:t>- 11 -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w:t>
      </w:r>
    </w:p>
    <w:p>
      <w:r>
        <w:rPr>
          <w:b/>
        </w:rPr>
        <w:t>E. 3.2.2</w:t>
      </w:r>
    </w:p>
    <w:p>
      <w:r>
        <w:t>Lorsque la personne placée sous un régime de placement à des fins d’assistance pour troubles psychiques ne peut pas ou ne veut pas donner son consentement, le médecin-chef du service qui l’accueille peut prescrire par écrit les soins médicaux prévus dans le plan de traitement (art. 434 al. 1 CC). Un traitement sans consentement dans le cadre d’un placement à des fins d’assistance constitue une atteinte grave à la liberté personnelle (art. 10 Cst. féd. [Constitution fédérale de la Confédération suisse du 18 avril 1999 ; RS 101]), qui doit respecter les exigences de l’art. 36 Cst. féd., c’est-à-dire être fondé sur une base légale, être justifié par un intérêt public ou par la protection d'un droit fondamental d'autrui et être proportionné au but visé (Guillod, CommFam, op. cit., nn. 1 et 2 ad art. 434 CC et réf. cit., p. 748 ; TF 5A_66/2009 du 6 avril 2009). C’est pourquoi il doit être considéré comme une ultima ratio et ne peut être ordonné qu’aux conditions strictes et cumulatives de l’art. 434 al. 1 CC. En premier lieu, le défaut de traitement doit mettre gravement en péril la santé de la personne concernée ou la vie ou l’intégrité corporelle d’autrui (art. 434 al. 1 ch. 1 CC). Il faut ensuite que la personne concernée n’ait pas la capacité de discernement requise pour saisir la nécessité du traitement (art. 434 al. 1 ch. 2 CC). Il faut enfin qu’il n’existe pas de mesures appropriées moins rigoureuses (art. 434 al. 1 ch. 3 CC). La décision d’administrer des soins médicaux à une personne sans son consentement lui est communiquée par écrit, ainsi qu’à sa personne de confiance (art. 434 al. 2 CC). La décision doit indiquer les voies de droit (art. 434 al. 2 CC, qui renvoie à l’art. 439 al. 1 ch. 4 et al. 2 à</w:t>
      </w:r>
    </w:p>
    <w:p>
      <w:r>
        <w:rPr>
          <w:b/>
        </w:rPr>
        <w:t>E. 3.2.3</w:t>
      </w:r>
    </w:p>
    <w:p>
      <w:r>
        <w:t>L’expertise doit répondre à des exigences particulières pour permettre de valider un placement forcé. Ainsi, elle doit se prononcer non seulement sur l’état de santé, mais aussi sur les risques que d’éventuels troubles peuvent faire courir à la personne concernée et si cet état de santé pourrait entraîner un état d’abandon (ATF 137 III 289, JdT 2012 II 382). Il s’agit d’obtenir le besoin éventuel de traitement d’une maladie psychique et la définition des soins. L’expert doit constater le besoin d’intervention, de prise en charge, le danger concret, préciser si l’internement ou la prise en charge est indispensable, de même que la conscience de la maladie, la nécessité du traitement et enfin l’établissement approprié (ATF 143 III 189, JdT 2017 II 459).</w:t>
      </w:r>
    </w:p>
    <w:p>
      <w:r>
        <w:rPr>
          <w:b/>
        </w:rPr>
        <w:t>E. 3.3</w:t>
      </w:r>
    </w:p>
    <w:p>
      <w:r>
        <w:t>En l’espèce, le recourant admet prendre quotidiennement du lithium, soit un médicament stabilisateur d’humeur, sous la forme d’un comprimé de Priadel, de sorte que l’on peut considérer comme établi le diagnostic de trouble bipolaire. La première condition de l’art. 426 al. 1 CC, soit un trouble psychique, est donc remplie. Il n’en va en revanche pas de même pour la deuxième condition. En effet, conformément à la disposition précitée, il faut encore que l’état de faiblesse soit si marqué que le traitement ou l’assistance dont la personne a besoin ne puisse pas lui être fournis autrement que par un placement en institution. Dans le cas présent, certes l’expert indique, dans son rapport du 5 août 2020, que l’état de santé psychique du recourant n'est pas encore stabilisé et qu’il paraît nécessaire qu'il puisse encore bénéficier d'un encadrement protecteur et de soins spécialisés, à même de lui fournir une assistance nécessaire et d'adapter son traitement psychotrope, en fonction de l'évolution du tableau clinique. Toutefois selon l’expert également, vu le peu d'information à sa disposition, il est dans l’incapacité de préciser les risques spécifiques d'une sortie prématurée, au-delà du risque de péjoration de l'état de santé psychique sous forme d'une aggravation de la symptomatologie psychotique, entre autre délirante mais également thymique, avec des troubles du comportement. Il ne confirme par ailleurs pas l’existence d’un</w:t>
      </w:r>
    </w:p>
    <w:p>
      <w:r>
        <w:t>- 13 - risque auto- et hétéro-agressif chez le recourant, mais se contente d’indiquer ne pas pouvoir l’exclure. Vu les circonstances de son placement, il est vraisemblable que le recourant a été signalé par un proche en raison d’un comportant inquiétant nécessitant une assistance, quand bien même l’intéressé n’a pas admis avoir présenté une décompensation récente. En revanche, faute d’élément concret relevé par l’expert ou figurant au dossier, comme par exemple le rapport de police du 22 juillet 2020, on ignore les perturbations réelles qu’entraîne le trouble du recourant sur sa vie, ainsi que l’étendue de son besoin d’assistance. L’existence d’un potentiel risque auto- ou hétéro-agressif, tel que mentionné par l’expert, est totalement insuffisant, de même que les conditions posées par la jurisprudence (ATF 143 III 189 déjà cité). Les déclarations de l’infirmière, [...], qui fait état d’un manque de collaboration de la part du recourant, ne sont pas plus relevantes. En effet, cette attitude ne semble concerner que la prise de médicaments, plus particulièrement, la prise d’un second comprimé de Priadel. Cette seule opposition − alors que le recourant a clairement expliqué que ce dosage était en contradiction avec celui prescrit par son médecin traitant, le Dr [...], et que ce second comprimé le rendrait très malade – semble exclure pour les médecins de la Fondation de Nant toute possibilité de levée de placement avant son échéance légale, soit le 4 septembre 2020. On relèvera à ce titre que la réalisation des conditions d’un traitement sans consentement du patient, au sens de l’art. 434 al. 1 CC, n’a pas été démontrée à ce stade et que pour le surplus, aucune décision n’a été communiquée à l’intéressé par le médecin-chef du service qui l’accueille. Ainsi, en l’absence d’éléments concrets, il n’est pas envisageable, en l’état du dossier, de poursuivre le placement médical à des fins d’assistance de M.________.</w:t>
      </w:r>
    </w:p>
    <w:p>
      <w:r>
        <w:t>- 14 -</w:t>
      </w:r>
    </w:p>
    <w:p>
      <w:r>
        <w:rPr>
          <w:b/>
        </w:rPr>
        <w:t>E. 4</w:t>
      </w:r>
    </w:p>
    <w:p>
      <w:r>
        <w:t>CC) (Meier, PAE, op. cit., n. 1287 ss, pp. 619-624).</w:t>
      </w:r>
    </w:p>
    <w:p>
      <w:r>
        <w:t>- 12 -</w:t>
      </w:r>
    </w:p>
    <w:p>
      <w:r>
        <w:rPr>
          <w:b/>
        </w:rPr>
        <w:t>E. 4.1</w:t>
      </w:r>
    </w:p>
    <w:p>
      <w:r>
        <w:t>En conclusion, le recours doit être admis et la décision du 6 août 2020 rendue par la juge de paix réformée dans le sens des considérants.</w:t>
      </w:r>
    </w:p>
    <w:p>
      <w:r>
        <w:rPr>
          <w:b/>
        </w:rPr>
        <w:t>E. 4.2</w:t>
      </w:r>
    </w:p>
    <w:p>
      <w:r>
        <w:t>Le présent arrêt peut être rendu sans frais judiciaires (art. 74a al. 4 TFJC [tarif du 28 septembre 2010 des frais judiciaires civils ; RS 270.11.5]). Par ces motifs, la Chambre des curatelles du Tribunal cantonal, statuant à huis clos, prononce : I. Le recours est admis. II. La décision est réformée comme il suit : I. admet l’appel déposé par M.________ contre son placement médical à des fins d’assistance. Ibis. lève le placement médical à des fins d’assistance de M.________ actuellement à la Fondation de Nant. La décision est confirmée pour le surplus. III. L’arrêt, rendu sans frais judiciaires, est exécutoire. Le président : La greffière :</w:t>
      </w:r>
    </w:p>
    <w:p>
      <w:r>
        <w:t>- 15 - Du L'arrêt qui précède, dont la rédaction a été approuvée à huis clos, est notifié à : - M. M.________ personnellement, - Fondation de Nant, Service de Psychiatrie et de psychothérapie, à l’att. de la Dre [...],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