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E125.043826 vom 23. Februar 2026</w:t>
      </w:r>
    </w:p>
    <w:p>
      <w:r>
        <w:t>VD Tribunal cantonal, 2026-02-23, FR</w:t>
      </w:r>
    </w:p>
    <w:p>
      <w:r>
        <w:rPr>
          <w:b/>
        </w:rPr>
        <w:t xml:space="preserve">Quelle: </w:t>
      </w:r>
      <w:r>
        <w:t>https://mcp.opencaselaw.ch/entscheid/vd_gerichte_E125.043826</w:t>
      </w:r>
    </w:p>
    <w:p>
      <w:r>
        <w:t>FR: VD_GERICHTE E125.043826 du 23 février 2026</w:t>
      </w:r>
    </w:p>
    <w:p>
      <w:r>
        <w:t>IT: VD_GERICHTE E125.043826 del 23 febbraio 2026</w:t>
      </w:r>
    </w:p>
    <w:p>
      <w:pPr>
        <w:pStyle w:val="Heading2"/>
      </w:pPr>
      <w:r>
        <w:t>Erwägungen</w:t>
      </w:r>
    </w:p>
    <w:p>
      <w:r>
        <w:rPr>
          <w:b/>
        </w:rPr>
        <w:t>E. 3.1</w:t>
      </w:r>
    </w:p>
    <w:p>
      <w:r>
        <w:t>La recourante conteste son placement à des fins d’assistance, faisant en substance valoir qu’elle pourrait réintégrer son appartement, moyennement un suivi ambulatoire et la poursuite de son traitement médicamenteux.</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Droit de la protection de l’adulte, 2016, n. 1191, p. 577).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15J001</w:t>
      </w:r>
    </w:p>
    <w:p>
      <w:r>
        <w:t>- 18 -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résulté escompté. L’atteinte, dans ses aspects matériel, spatial et temporel, ne doit pas être plus rigoureuse que nécessaire (TF 5A_374/2018 du 25 juin 2018 consid. 4.2.1 et les références citées).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28 juin 2006 concernant la révision du Code civil suisse [Protection des personnes, droit des personnes, et droit de la filiation], FF 2006 p. 6696). 15J001</w:t>
      </w:r>
    </w:p>
    <w:p>
      <w:r>
        <w:t>- 19 -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w:t>
      </w:r>
    </w:p>
    <w:p>
      <w:r>
        <w:rPr>
          <w:b/>
        </w:rPr>
        <w:t>E. 3.3</w:t>
      </w:r>
    </w:p>
    <w:p>
      <w:r>
        <w:t>C.________ souffre d’un trouble schizophrénique de type paranoïde avec, en périodes de décompensation, un risque important de négligence et de mise en danger d’elle-même. Elle présente des symptômes psychotiques florides sous la forme d’idées de persécution. Elle est en outre convaincue qu’un robot d’intelligence artificielle a été implanté dans son cerveau, lequel lit ses pensées, et elle a des hallucinations auditives, notamment sous la forme de voix de gens qui se moqueraient d’elle. Selon les différents rapports, expertise et compléments d’expertise, elle est anosognosique, ce que son audition par la Chambre de céans a encore permis de constater, la recourante admettant uniquement avoir souffert d’une longue dépression, mais estimant qu’Allah l’a aujourd’hui guérie et qu’elle peut donc retourner vivre dans son appartement. Elle affirme qu’elle poursuivra le traitement médicamenteux administré par son médecin, dès lors que celui-ci est bienveillant. Le parcours de la recourante lors de ces deux dernières années est révélateur des difficultés auxquelles elle doit faire face. En effet, après chacune des périodes de placement à des fins d’assistance, que ce soit en 2023, en 2024 ou en 2025, des mesures ambulatoires ont été mises en œuvre pour accompagner le retour à domicile de l’intéressée. Celles-ci avaient même été préconisées par l’expert dans son rapport du 11 juillet 2024 et même encore dans le complément d’expertise du 12 juin 2025. Or, à chaque fois, dans les semaines, voire les jours qui ont suivi sa sortie de l’hôpital, la recourante a interrompu le suivi et cessé de prendre ses 15J001</w:t>
      </w:r>
    </w:p>
    <w:p>
      <w:r>
        <w:t>- 20 - médicaments. Ainsi, après sa sortie du F.________ le 25 septembre 2023, elle a dû être réhospitalisée le 23 février 2024 en raison d’une nouvelle décompensation ; elle avait interrompu sa médication. Hospitalisée du 23 février 2024 au 13 septembre 2024, elle a pu rejoindre son domicile, s’étant engagée à respecter la prise de son traitement et à se rendre aux rendez- vous de consultations. Elle a néanmoins dû être réhospitalisée à J.________ quelques jours seulement après sa sortie, soit le 27 septembre 2024 en raison d’une nouvelle décompensation ; elle ne s’était pas présentée au premier rendez-vous de consultation, ni à la pharmacie chargée de lui prescrire son traitement médicamenteux. Ce nouveau placement a été levé le 17 juillet 2025, moyennant la mise en œuvre des mesures ambulatoires préconisées par l’expert, à savoir un suivi psychothérapeutique régulier, un suivi infirmier à domicile pour la prise de médication et la poursuite régulière de la médication psychotrope. La recourante a toutefois déjà manqué son premier rendez-vous auprès de son médecin, prévu le lendemain de sa sortie, soit le 18 juillet 2025, et a finalement été réhospitalisée à compter du 25 septembre 2025. Son médecin relevait que lors du second rendez-vous, le 15 août 2025, elle présentait un état clinique de décompensation psychotique et thymique de son trouble schizo-affectif et qu’elle refusait son traitement médicamenteux depuis le 27 août 2025. Le schéma de chacun de ces épisodes est systématiquement le même, en ce sens que l’hospitalisation permet la mise en place d’un traitement médicamenteux qui permet de partiellement stabiliser la recourante, malgré une persistance de certaines idées délirantes, non accessibles au traitement médicamenteux. Le cadre peut être progressivement élargi, jusqu’à la sortie de l’hôpital, moyennant la mise en place d’un réseau de soins ambulatoire. Toutefois, à chaque fois, dès sa sortie de l’institution, la recourante s’avère incapable de se plier aux conditions du traitement ambulatoire, qu’elle met en échec ; elle interrompt son suivi psychothérapeutique et médicamenteux et cette rupture de soins entraine la réapparition de symptômes psychotiques florides et une nouvelle décompensation psychotique aiguë. 15J001</w:t>
      </w:r>
    </w:p>
    <w:p>
      <w:r>
        <w:t>- 21 - Aujourd’hui, la recourante se retrouve une nouvelle fois dans la même situation. En effet, durant les quelques mois qu’elle vient de passer à J.________, une médication psychotrope a pu être mise en place et administrée de manière régulière à la recourante, ce qui a permis une certaine stabilisation de son état. Celle-ci demeure toutefois encore fragile et doit être consolidée. Dans ces conditions, le discours de la recourante sur la volonté de poursuivre son traitement n’est pas crédible. En effet, elle demeure anosognosique de ses troubles et continue à réfuter le diagnostic de schizophrénie. L’expérience a montré que, dans la même situation, dès qu’elle se retrouvait à domicile, la recourante était totalement incapable de s’astreindre à un traitement ambulatoire et d’en respecter les conditions, faute d’en reconnaître l’utilité. En conséquence et malgré les promesses de l’intéressée – articulées en dernier lieu à l’audience de la Chambre de céans – de poursuivre son traitement et d’investir les mesures ambulatoires, le risque est donc extrêmement élevé qu’en cas de levée du placement, la recourante interrompe une nouvelle fois rapidement sa médication, ce qui entraînerait un risque élevé de décompensation immédiate de ses symptômes psychotiques et de mise en danger. Au demeurant, C.________ continue d’envisager des voyages en Afrique, ce qui confirme son absence de conscience des implications liées à des mesures ambulatoires, lesquelles ne pourraient pas se poursuivre en cas de départ à l’étranger et signifierait donc immanquablement l’interruption des soins et un risque accru de décompensation, donc de mise en danger. Avec les experts, il convient donc de constater que tant la cause du placement, à savoir les troubles psychiques, que le besoin particulier d'aide et d'assistance qui en découle sont réalisées. La poursuite de la prise en charge institutionnelle en milieu hospitalier est donc encore nécessaire actuellement en raison de l’absence de stabilisation suffisante de son trouble et de la persistance de convictions délirantes. Enfin, il convient de relever, que, comme l’a à juste titre relevé l’expert, même après la période d’hospitalisation actuelle en soins aigus, 15J001</w:t>
      </w:r>
    </w:p>
    <w:p>
      <w:r>
        <w:t>- 22 - qui devra permettre la stabilisation des symptômes, il y aura lieu d’envisager un encadrement dans un EPSM ou un foyer – en lieu et place d’un retour à domicile –, une telle étape apparaissant nécessaire afin d’éviter une rupture du traitement.</w:t>
      </w:r>
    </w:p>
    <w:p>
      <w:r>
        <w:rPr>
          <w:b/>
        </w:rPr>
        <w:t>E. 4</w:t>
      </w:r>
    </w:p>
    <w:p>
      <w:r>
        <w:t>En conclusion, le recours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15J001</w:t>
      </w:r>
    </w:p>
    <w:p>
      <w:r>
        <w:t>- 23 - Du L'arrêt qui précède, dont la rédaction a été approuvée à huis clos, est notifié à : - Mme C.________, - J.________, Secrétariat médical, à l'att. du médecin responsable, - Service des curatelles et tutelles professionnelles, à l’att. de Mme W.________, et communiqué à : - M. le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