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E123.054140 vom 1. Juli 2025</w:t>
      </w:r>
    </w:p>
    <w:p>
      <w:r>
        <w:t>VD Tribunal cantonal, 2025-07-01, FR</w:t>
      </w:r>
    </w:p>
    <w:p>
      <w:r>
        <w:rPr>
          <w:b/>
        </w:rPr>
        <w:t xml:space="preserve">Quelle: </w:t>
      </w:r>
      <w:r>
        <w:t>https://mcp.opencaselaw.ch/entscheid/vd_gerichte_E123.054140</w:t>
      </w:r>
    </w:p>
    <w:p>
      <w:r>
        <w:t>FR: VD_GERICHTE E123.054140 du 1 juillet 2025</w:t>
      </w:r>
    </w:p>
    <w:p>
      <w:r>
        <w:t>IT: VD_GERICHTE E123.054140 del 1 luglio 2025</w:t>
      </w:r>
    </w:p>
    <w:p>
      <w:pPr>
        <w:pStyle w:val="Heading2"/>
      </w:pPr>
      <w:r>
        <w:t>Erwägungen</w:t>
      </w:r>
    </w:p>
    <w:p>
      <w:r>
        <w:rPr>
          <w:b/>
        </w:rPr>
        <w:t>E. 4</w:t>
      </w:r>
    </w:p>
    <w:p>
      <w:r>
        <w:t>En conclusion, le recours est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des art. 450f CC et 12 al. 1 LVPAE). Par ces motifs, la Chambre des curatelles du Tribunal cantonal, statuant à huis clos, prononce : I. Le recours est rejeté. II. La décision est confirmée. III. Les frais judiciaires de deuxième instance, arrêtés à 300 fr. (trois cents francs), sont mis à la charge du recourant I.G.________. La présidente : La greffière : Du</w:t>
      </w:r>
    </w:p>
    <w:p>
      <w:r>
        <w:t>- 23 - L'arrêt qui précède, dont la rédaction a été approuvée à huis clos, est notifié à : - Me Luc Vaney (pour I.G.________), - Mme A.G.________, et communiqué à : - M. le Juge de paix du district de Lausanne, - M. B.________,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