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E122.037421 vom 18. Juli 2023</w:t>
      </w:r>
    </w:p>
    <w:p>
      <w:r>
        <w:t>VD Tribunal cantonal, 2023-07-18, FR</w:t>
      </w:r>
    </w:p>
    <w:p>
      <w:r>
        <w:rPr>
          <w:b/>
        </w:rPr>
        <w:t xml:space="preserve">Quelle: </w:t>
      </w:r>
      <w:r>
        <w:t>https://mcp.opencaselaw.ch/entscheid/vd_gerichte_E122.037421</w:t>
      </w:r>
    </w:p>
    <w:p>
      <w:r>
        <w:t>FR: VD_GERICHTE E122.037421 du 18 juillet 2023</w:t>
      </w:r>
    </w:p>
    <w:p>
      <w:r>
        <w:t>IT: VD_GERICHTE E122.037421 del 18 luglio 2023</w:t>
      </w:r>
    </w:p>
    <w:p>
      <w:pPr>
        <w:pStyle w:val="Heading2"/>
      </w:pPr>
      <w:r>
        <w:t>Erwägungen</w:t>
      </w:r>
    </w:p>
    <w:p>
      <w:r>
        <w:rPr>
          <w:b/>
        </w:rPr>
        <w:t>E. 1</w:t>
      </w:r>
    </w:p>
    <w:p>
      <w:r>
        <w:t>Par décision du 28 mars 2023, notifiée le 8 mai 2023, la Justice de paix du district de l’Ouest lausannois (ci-après : la justice de paix) a mis fin à l’enquête en institution d’une curatelle ouverte en faveur de R.________, né le [...] 1974 (I), a levé la curatelle de portée générale provisoire au sens des art. 398 et 445 CC instituée en sa faveur (II), l’a réintégré dans la libre disposition de ses biens (III), a dit qu’il recouvrait la pleine capacité civile, sous réserve du chiffre VI. ci-dessous (IV), a institué une curatelle de représentation au sens de l'art. 394 al. 1 CC, avec limitation de l’exercice des droits civils au sens de l’art. 394 al. 2 CC, et de gestion au sens de l'art. 395 al. 1 CC en sa faveur (V), lui a retiré l’exercice de ses droits civils en matière d’affaires juridiques (VI), a confirmé, en qualité de curateur, [...], assistant social au sein du Service des curatelles et tutelles professionnelles (ci-après : SCTP), et dit qu'en cas d'absence du curateur désigné personnellement, ledit Service assurerait son remplacement en attendant son retour ou la désignation d'un nouveau curateur (VII), a précisé les tâches que le curateur exercerait dans le cadre de la curatelle de représentation (art. 394 al. 1 et 2 CC) et dans le cadre de la curatelle de gestion (art. 395 al. 1 CC), le curateur devant représenter R.________, si nécessaire, pour ses besoins ordinaires (art. 408 al. 2 ch. 3 CC), en veillant, dans la mesure du possible, à lui permettre de retrouver progressivement de l’autonomie dans la gestion de ses affaires financières et administratives (VIII), a invité le curateur à soumettre des comptes tous les deux ans à l'approbation de l'autorité de céans avec un rapport sur son activité et sur l'évolution de la situation de l’intéressé (IX), a autorisé le curateur [...], pour autant que de besoin, à prendre connaissance de la correspondance de R.________, afin qu'il puisse obtenir des informations sur sa situation financière et administrative et s'enquérir de ses conditions de vie, et à pénétrer dans son logement s’il était sans nouvelles de l'intéressé depuis un certain temps (X), a rappelé que la clôture de l’enquête en placement à des fins d’assistance ouverte en faveur de R.________ était suspendue (XI), a privé d’effet suspensif tout</w:t>
      </w:r>
    </w:p>
    <w:p>
      <w:r>
        <w:t>- 3 - recours éventuel contre cette décision (art. 450c CC) (XII) et a laissé les frais de la présente cause à la charge de l'Etat (XIII).</w:t>
      </w:r>
    </w:p>
    <w:p>
      <w:r>
        <w:rPr>
          <w:b/>
        </w:rPr>
        <w:t>E. 2</w:t>
      </w:r>
    </w:p>
    <w:p>
      <w:r>
        <w:t>Le 14 juin 2023, R.________ a déposé au guichet de la justice de paix un recours contre la décision précitée intitulé « Début de la fin de ma curatelle », en concluant à ce qu’il soit mis fin à la curatelle instituée en sa faveur. Le recourant estimait que la désignation d’un curateur lui portait préjudice. Le 30 juin 2023, R.________ a adressé un courriel à la Chambre des curatelles pour compléter son recours.</w:t>
      </w:r>
    </w:p>
    <w:p>
      <w:r>
        <w:rPr>
          <w:b/>
        </w:rPr>
        <w:t>E. 2.3</w:t>
      </w:r>
    </w:p>
    <w:p>
      <w:r>
        <w:t>; TF 5A_844/2017 du 15 mai 2018 consid. 9.2 ; TF 5A_1017/2015 du 23 mars 2016 consid. 2.2 ; TF 5A_171/2015 du 20 avril 2015 consid. 6.1 ; CCUR 25 juillet 2022/127 ; CCUR 8 décembre 2020/234).</w:t>
      </w:r>
    </w:p>
    <w:p>
      <w:r>
        <w:t>- 4 -</w:t>
      </w:r>
    </w:p>
    <w:p>
      <w:r>
        <w:rPr>
          <w:b/>
        </w:rPr>
        <w:t>E. 3.1</w:t>
      </w:r>
    </w:p>
    <w:p>
      <w:r>
        <w:t>Le recours est dirigé contre une décision de la justice de paix désignant un assistant social du SCTP en qualité de curateur de la personne concernée.</w:t>
      </w:r>
    </w:p>
    <w:p>
      <w:r>
        <w:rPr>
          <w:b/>
        </w:rPr>
        <w:t>E. 3.2.1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En matière de protection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3.2.2</w:t>
      </w:r>
    </w:p>
    <w:p>
      <w:r>
        <w:t>L’art. 138 al. 2 CPC prévoit que l’acte est réputé notifié lorsqu’il a été remis au destinataire. Selon l’art. 143 al. 1 CPC, les actes doivent être remis au plus tard le dernier jour du délai soit au tribunal soit à l’attention de ce dernier, à la Poste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 11 septembre 2017 consid. 6.3.1 ; CCUR 28 mars 2023/58 ; CCUR 28 février 2023/44 ; Colombini, Code de procédure civile, Condensé de la jurisprudence fédérale et vaudoise, Lausanne 2018, n. 4.5.1 ad art. 311 CPC, p. 956).</w:t>
      </w:r>
    </w:p>
    <w:p>
      <w:r>
        <w:rPr>
          <w:b/>
        </w:rPr>
        <w:t>E. 3.3</w:t>
      </w:r>
    </w:p>
    <w:p>
      <w:r>
        <w:t>En l’espèce, comme cela ressort du « Suivi des envois » de la Poste suisse, la décision entreprise a été envoyée pour notification au recourant sous pli recommandé le 5 mai 2023 et lui a été distribuée le lundi 8 mai 2023. Il en résulte que le délai de recours de trente jours a commencé à courir le lendemain de cette communication (art. 142 al. 1 CPC), soit le mardi 9 mai 2023, pour expirer le mercredi 7 juin 2023. Compte tenu de ce qui précède, le recours daté du 14 juin 2023 et remis le même jour au guichet de la justice de paix est manifestement tardif.</w:t>
      </w:r>
    </w:p>
    <w:p>
      <w:r>
        <w:t>- 5 -</w:t>
      </w:r>
    </w:p>
    <w:p>
      <w:r>
        <w:rPr>
          <w:b/>
        </w:rPr>
        <w:t>E. 4</w:t>
      </w:r>
    </w:p>
    <w:p>
      <w:r>
        <w:t>Par conséquent, le recours est irrecevable.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R.________, - Service des curatelles et tutelles professionnelles, à l’att. de M. [...], et communiqué à : - la Justice de paix du district de l’Ouest lausannois</w:t>
      </w:r>
    </w:p>
    <w:p>
      <w:r>
        <w:t>- 6 -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