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E115.028987 vom 31. August 2015</w:t>
      </w:r>
    </w:p>
    <w:p>
      <w:r>
        <w:t>VD Tribunal cantonal, 2015-08-31, FR</w:t>
      </w:r>
    </w:p>
    <w:p>
      <w:r>
        <w:rPr>
          <w:b/>
        </w:rPr>
        <w:t xml:space="preserve">Quelle: </w:t>
      </w:r>
      <w:r>
        <w:t>https://mcp.opencaselaw.ch/entscheid/vd_gerichte_E115.028987</w:t>
      </w:r>
    </w:p>
    <w:p>
      <w:r>
        <w:t>FR: VD_GERICHTE E115.028987 du 31 août 2015</w:t>
      </w:r>
    </w:p>
    <w:p>
      <w:r>
        <w:t>IT: VD_GERICHTE E115.028987 del 31 agosto 2015</w:t>
      </w:r>
    </w:p>
    <w:p>
      <w:pPr>
        <w:pStyle w:val="Heading2"/>
      </w:pPr>
      <w:r>
        <w:t>Erwägungen</w:t>
      </w:r>
    </w:p>
    <w:p>
      <w:r>
        <w:rPr>
          <w:b/>
        </w:rPr>
        <w:t>E. 2</w:t>
      </w:r>
    </w:p>
    <w:p>
      <w:r>
        <w:t>a)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aa)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w:t>
      </w:r>
    </w:p>
    <w:p>
      <w:r>
        <w:t>- 11 -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neutre et impartial, et ne pas s’être déjà prononcé sur la maladie de l'intéressé dans une même procédure (cf. Guillod, in Commentaire du droit de la famille, Protection de l’adulte, Berne 2013 [cité ci-après : CommFam], n. 40 ad art. 439 CC, p. 789 ; Steck, CommFam, n. 16 ad art. 446 CC, p. 857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 En l’espèce, la décision entreprise se fonde essentiellement sur les signalements des 10 juillet et 21 août 2015 du chef de clinique W.________ ainsi que du rapport du 20 juillet 2015 du chef de clinique adjointH.________. Ces rapports, qui fournissent des éléments actuels et pertinents sur l’évolution de la situation de l’intéressée et sur son état de santé, émanent de médecins spécialisés en psychiatrie indépendants et qui ne s’étaient encore jamais prononcés sur l’état de santé de la recourante avant d’être consultés. Au stade des mesures provisionnelles, ces rapports sont suffisants pour statuer sur la question du placement à des fins d’assistance provisoire de la recourante.</w:t>
      </w:r>
    </w:p>
    <w:p>
      <w:r>
        <w:t>- 12 - ab) L’art. 450e al. 4 1ère phr. CC prévoit que l’instance judiciaire de recours, en règle générale réunie en collège, procède à l’audition de la personne concernée (cf. ATF 139 III 257). Le 31 août 2015, la cour de céans a procédé à l’audition de V.________. Le droit d’être entendu de la recourante a donc été respecté.</w:t>
      </w:r>
    </w:p>
    <w:p>
      <w:r>
        <w:rPr>
          <w:b/>
        </w:rPr>
        <w:t>E. 3</w:t>
      </w:r>
    </w:p>
    <w:p>
      <w:r>
        <w:t>Lors de sa comparution devant la justice de paix le 26 août 2015, la recourante a immédiatement contesté la décision de placement à des fins d’assistance provisoire prononcée à son encontre et confirmé, lors de son audition devant la cour de céans le 31 août 2015, son refus d’être placée. 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w:t>
      </w:r>
    </w:p>
    <w:p>
      <w:r>
        <w:t>- 13 -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w:t>
      </w:r>
    </w:p>
    <w:p>
      <w:r>
        <w:t>- 14 -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Il peut en effet arriver que l’état se soit amélioré, mais qu’une prise en charge ambulatoire ne soit pas pour autant possible ou que cet état ne soit pas encore suffisamment stabilisé. La [nouvelle] règle devrait permettre d’éviter une libération nécessitant immédiatement après un nouveau placement (Meier/Lukic, op. cit., n. 881 ad n. 705, p. 321 et références citées). Le placement à des fins d’assistance est destiné à protéger la personne, si nécessaire contre elle-même, et à lui fournir l’aide et les soins dont elle a besoin, le but étant de faire en sorte que l’intéressé puisse retrouver son autonomie. Indirectement, cette mesure permet aussi de soulager la charge que la personne peut représenter pour son entourage ; ce n’est cependant pas son objectif premier, mais un effet corollaire de son institution (TF 5A_444/2014 du 26 juin 2014 c. 3.2 ; Meier/Lukic, op. cit., n. 661, p. 300). La question déterminante pour décider du maintien du placement en institution est en premier lieu celle de la mise en danger propre de l’intéressé (TF 5A_444/2014 du 26 juin 2014 c. 3.2 ). 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w:t>
      </w:r>
    </w:p>
    <w:p>
      <w:r>
        <w:t>- 15 - c) En l’espèce, il résulte des pièces au dossier, notamment des signalements des 10 juillet et 21 août 2015, que l’intéressée souffre d’un trouble de la personnalité émotionnellement labile, de type borderline, et d’un alcoolisme sévère qui l’handicape sérieusement dans l’exercice de son travail ainsi que dans le cadre de ses relations familiales, notamment avec ses enfants. Inquiets pour elle, notamment en raison de ses propos suicidaires, ses collègues de travail l’ont signalée au service de psychiatrie [...] qui l’a aussitôt prise en charge. Malgré les programmes de soins qu’elle a suivis à différentes périodes et qui ont temporairement amélioré son état, la recourante n’est jusqu’ici pas parvenue à se libérer de sa dépendance. A l’évidence, la recourante souffre d’une forte dépendance à l’alcool. En outre, de l’avis de tous les médecins consultés, elle présente des troubles psychi-ques qui nécessitent également un traitement. Selon les éléments recueillis, à chaque fois qu’elle bénéficie d’une prise en charge hospitalière, la recourante se porte mieux, puis ensuite, à sa sortie de l’hôpital, se retrouve livrée à elle-même et ne se conforme alors plus aux traitements indiqués, notamment ne se rend plus aux consultations fixées ni aux examens proposés. Elle finit alors par retomber dans sa dépendance et à porter atteinte à ses intérêts, notamment à ses relations familiales. Actuellement placée en institution, elle ne boit plus depuis deux semaines. Il est manifeste que si la recourante ne bénéficie pas d’une structure d’encadrement thérapeutique suffisamment stricte, elle retombera invariablement dans sa dépendance, compromettra ses intérêts et finira par devoir être hospitalisée. Afin d’interrompre ce cercle vicieux, il apparaît par conséquent impératif, en l’état et jusqu’à ce que les médecins en charge de sa santé aient pu analyser les résultats des examens en cours et décider d’un programme de soins ainsi que de la nécessité de prolonger ou non son placement, que la recourante soit maintenue en institution. Il est en effet important que</w:t>
      </w:r>
    </w:p>
    <w:p>
      <w:r>
        <w:t>- 16 - son état de santé s’améliore pour que, lorsqu’elle sera libérée, elle dispose des ressources physiques et psychiques nécessaires afin de pouvoir suivre les traitements appliqués et de reprendre progressivement le cours normal de ses activités ainsi que des relations saines avec ses enfants. Une libération prématurée de la recourante, tout au moins dans les présentes circonstances, pourrait lui être préjudiciable, dans la mesure où elle s’exposerait à un nouveau risque de rechute et pourrait porter une atteinte encore plus notable à ses intérêts ce qui serait finalement contraire au but de protection recherché. Ayant été mis au bénéfice d’une délégation médicale au sens de l’art. 428 al. 2 CC leur donnant la compétence de libérer la recourante si les circonstances le justifient, les médecins en charge de la santé de V.________ pourront lever son placement à des fins d’assistance lorsqu’ils en estimeront les conditions réunies. La mesure de placement prononcée à titre provisoire étant fondée, elle doit être confirmée.</w:t>
      </w:r>
    </w:p>
    <w:p>
      <w:r>
        <w:rPr>
          <w:b/>
        </w:rPr>
        <w:t>E. 4</w:t>
      </w:r>
    </w:p>
    <w:p>
      <w:r>
        <w:t>En conclusion, le recours doit être rejeté et l’ordonnance confirmée. Le présent arrêt peut-être rendu sans frais judiciaires (art. 74a al. 4 TFJC [Tarif du 28 septembre 2010 des frais judiciaires civils ; RSV 270.11.5]).</w:t>
      </w:r>
    </w:p>
    <w:p>
      <w:r>
        <w:t>- 17 - Par ces motifs, la Chambre des curatelles du Tribunal cantonal, statuant à huis clos, prononce : I. Le recours est rejeté. II. L’ordonnance est confirmée. III. L’arrêt est rendu sans frais judiciaires. IV. L'arrêt est exécutoire. La présidente : La greffière : Du L'arrêt qui précède, dont la rédaction a été approuvée à huis clos, est notifié à : - V.________, et communiqué à : - Justice de paix du district du Gros-de-Vaud, - Centre de Psychiatrie du Nord vaudois (CPNVD),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