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E113.026021 vom 17. Juni 2014</w:t>
      </w:r>
    </w:p>
    <w:p>
      <w:r>
        <w:t>VD Tribunal cantonal, 2014-06-17, FR</w:t>
      </w:r>
    </w:p>
    <w:p>
      <w:r>
        <w:rPr>
          <w:b/>
        </w:rPr>
        <w:t xml:space="preserve">Quelle: </w:t>
      </w:r>
      <w:r>
        <w:t>https://mcp.opencaselaw.ch/entscheid/vd_gerichte_E113.026021</w:t>
      </w:r>
    </w:p>
    <w:p>
      <w:r>
        <w:t>FR: VD_GERICHTE E113.026021 du 17 juin 2014</w:t>
      </w:r>
    </w:p>
    <w:p>
      <w:r>
        <w:t>IT: VD_GERICHTE E113.026021 del 17 giugno 2014</w:t>
      </w:r>
    </w:p>
    <w:p>
      <w:pPr>
        <w:pStyle w:val="Heading2"/>
      </w:pPr>
      <w:r>
        <w:t>Erwägungen</w:t>
      </w:r>
    </w:p>
    <w:p>
      <w:r>
        <w:rPr>
          <w:b/>
        </w:rPr>
        <w:t>E. 00</w:t>
      </w:r>
    </w:p>
    <w:p>
      <w:r>
        <w:t>comme ils l’avaient fait. Il a expliqué que le désordre et l’insalubrité de son appartement étaient voulus et s’inscrivaient dans une sorte de démarche artistique, qu’il s’était agi d’un essai, mais qu’il était très</w:t>
      </w:r>
    </w:p>
    <w:p>
      <w:r>
        <w:t>- 10 - méticuleux. Il a indiqué que le CMS n’était venu que deux fois, qu’il fallait « camber » pour entrer chez lui et que l’employée du CMS lui avait dit qu’elle ne pourrait revenir que lorsque son logement serait rangé. Il avait néanmoins toujours eu accès aux sanitaires et à la cuisine. Il a ajouté qu’il avait été comme paralysé devant le Dr Jeremy Lanarès et que les hôpitaux l’impressionnaient. Il s’est dit disposé à se soumettre à des mesures de contrôle de son alcoolémie. En d roit :</w:t>
      </w:r>
    </w:p>
    <w:p>
      <w:r>
        <w:rPr>
          <w:b/>
        </w:rPr>
        <w:t>E. 1</w:t>
      </w:r>
    </w:p>
    <w:p>
      <w:r>
        <w:t>Le recours est dirigé contre la décision de l’autorité de protection de l’adulte ordonnant, pour une durée indéterminée, le placement à des fins d'assistance de P.________ en application de l’art. 426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w:t>
      </w:r>
    </w:p>
    <w:p>
      <w:r>
        <w:t>- 11 -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 lui-même, le recours est recevable, de même que les pièces produites en deuxième instance. Interpellée, la justice de paix a déclaré qu’elle n’entendait pas prendre position, ni reconsidérer sa décision.</w:t>
      </w:r>
    </w:p>
    <w:p>
      <w:r>
        <w:rPr>
          <w:b/>
        </w:rPr>
        <w:t>E. 2</w:t>
      </w:r>
    </w:p>
    <w:p>
      <w:r>
        <w:t>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w:t>
      </w:r>
    </w:p>
    <w:p>
      <w:r>
        <w:t>- 12 -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 4.5 ; TF 5A_469/2013 du 17 juillet 2013 c. 2.4). Dans l'affirmative, il incombe à l'expert de préciser quels seraient les risques concrets pour la vie ou la santé de cette personne, respectivement pour les tiers, si la prise en charge préconisée n'était pas mise en oeuvre (à propos de la notion de danger concret : TF 5A_288/2011 du 19 mai 2011 c. 5.3 ; TF 5A_312/2007 du 10 juillet 2007 c. 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 4.5 ; à propos de la notion d'institution « appropriée » : ATF 112 II 486 c. 4c, JT 1989 I 571 ; ATF 114 II 213 c. 7). Lorsque l'expertise sur laquelle l'autorité s'est fondée pour prononcer le placement apparaît incomplète, le Tribunal fédéral renvoie le dossier pour complément d'instruction (TF 5A_469/2013 du 17 juillet 2013 c. 2.3 in fine ; TF 5A_879/2012 du 12 décembre 2012 c.</w:t>
      </w:r>
    </w:p>
    <w:p>
      <w:r>
        <w:rPr>
          <w:b/>
        </w:rPr>
        <w:t>E. 4</w:t>
      </w:r>
    </w:p>
    <w:p>
      <w:r>
        <w:t>a) En conclusion, le recours doit être rejeté et la décision entreprise confirmée. Le présent arrêt peut être rendu sans frais judiciaires (art. 74a al. 4 TFJC [tarif du 28 septembre 2010 des frais judiciaires civils, RSV 270.11.5]). b)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il y a lieu d’accorder à P.________ le bénéfice de l’assistance judiciaire pour la procédure de recours, les conditions précitées étant remplies, et de désigner Me Romain Kramer en qualité de conseil d’office du prénommé, avec effet au 11 juin 2014. Dans la liste de ses opérations, l’avocat susmentionné indique avoir consacré 8 heures 55 à l’exécution de son mandat, hors audience du 17 juin 2014. Au vu des difficultés présentées par la cause en fait et en droit, il convient de retenir un temps global de 9 heures, audience du 17 juin 2014 comprise. Compte tenu d’un tarif horaire de 180 fr. hors TVA (art. 2 al. 1 let. a RAJ [règlement sur l'assistance judiciaire en matière</w:t>
      </w:r>
    </w:p>
    <w:p>
      <w:r>
        <w:t>- 20 - civile du 7 décembre 2010, RSV 211.02.3]), l'indemnité d'office de Me Romain Kramer doit être arrêtée à 1'620 fr. (9 h x 180 fr.), à laquelle s'ajoutent les débours allégués, par 147 fr., l’indemnité de déplacement pour l’audience, par 120 fr. (cf. pour ce montant forfaitaire JT 2013 III 3), et la TVA à 8% sur ces montants (art. 2 al. 3 RAJ), par 151 fr., soit 2'038 fr. au total. Le bénéficiaire de l'assistance judiciaire est, dans la mesure de l'art. 123 CPC, tenu au remboursement de l’indemnité à son conseil d’office mise à la charge de l'Etat. Par ces motifs, la Chambre des curatelles du Tribunal cantonal, statuant à huis clos, prononce : I. Le recours est rejeté. II. La décision est confirmée. III. La requête d’assistance judiciaire du recourant P.________ est admise, Me Romain Kramer étant désigné conseil d’office avec effet au 11 juin 2014 dans la procédure de recours. IV. L’arrêt est rendu sans frais judiciaires. V. L’indemnité d’office de Me Romain Kramer, conseil du recourant, est arrêtée à 2'038 fr. (deux mille trente-huit francs), TVA et débours compris. VI. Le bénéficiaire de l’assistance judiciaire est, dans la mesure de l’art. 123 CPC, tenu au remboursement de l’indemnité au conseil d’office mise à la charge de l’Etat.</w:t>
      </w:r>
    </w:p>
    <w:p>
      <w:r>
        <w:t>- 21 - VII. L'arrêt est exécutoire. La présidente : La greffière : Du L'arrêt qui précède, dont la rédaction a été approuvée à huis clos, est notifié à : - Me Romain Kramer (pour P.________), - Mme L.________, assistante sociale auprès de l’Office des tutelles et curatelles professionnelles, et communiqué à : - Justice de paix du district de Lausanne, - EMS [...],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