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DS09.010894 vom 10. April 2014</w:t>
      </w:r>
    </w:p>
    <w:p>
      <w:r>
        <w:t>VD Tribunal cantonal, 2014-04-10, FR</w:t>
      </w:r>
    </w:p>
    <w:p>
      <w:r>
        <w:rPr>
          <w:b/>
        </w:rPr>
        <w:t xml:space="preserve">Quelle: </w:t>
      </w:r>
      <w:r>
        <w:t>https://mcp.opencaselaw.ch/entscheid/vd_gerichte_DS09.010894</w:t>
      </w:r>
    </w:p>
    <w:p>
      <w:r>
        <w:t>FR: VD_GERICHTE DS09.010894 du 10 avril 2014</w:t>
      </w:r>
    </w:p>
    <w:p>
      <w:r>
        <w:t>IT: VD_GERICHTE DS09.010894 del 10 aprile 2014</w:t>
      </w:r>
    </w:p>
    <w:p>
      <w:pPr>
        <w:pStyle w:val="Heading2"/>
      </w:pPr>
      <w:r>
        <w:t>Erwägungen</w:t>
      </w:r>
    </w:p>
    <w:p>
      <w:r>
        <w:rPr>
          <w:b/>
        </w:rPr>
        <w:t>E. 32</w:t>
      </w:r>
    </w:p>
    <w:p>
      <w:r>
        <w:t>secrétaires ainsi que la responsabilité de la formation des apprentis de la Direction de ressources humaines. Il découle encore du premier cahier des charges que le poste inclut la conduite, avec le Directeur général adjoint, des entretiens d’appréciations des secrétaires et la fixation de leurs objectifs individuels. Comme déjà détaillé ci-dessus (cf. supra consid. III, lettre c)), il résulte du tableau de la grille des fonctions en vigueur daté de décembre 2008 que la différence entre les chaînes 346 et 349 réside dans la présence ou non de conduite d’unité. Comme déjà relevé à la lecture du cahier des charges de la recourante et au vu des déclarations du témoin entendu, cette différence apparaît entre le poste de la recourante et les deux postes comparés ci-dessus. La recourante supervise le travail des deux autres secrétaires de l’établissement, mais il ne peut être considéré que ces dernières lui sont directement subordonnées. Au vu de ce qui précède, le Tribunal de céans constate qu’une collocation du poste de la recourante dans la chaîne 349 ne se justifie pas et met à mal la cohérence interne à la DGEO. Il convient de faire droit aux arguments de l’intimé sur ce point. La lecture de l’affaire citée en comparaison par la recourante (Décision du 9 février 2015 ; DS09.009248) ne conduit pas à un résultat différent. En effet, le fait que l’intimée de cette affaire dirige une unité était admis dans ce dossier. Ce point n’était donc pas l’objet du litige.</w:t>
      </w:r>
    </w:p>
    <w:p>
      <w:r>
        <w:t>- 30 - cb) Concernant la cohérence transversale, l’analyse des cahiers des charges des divers postes colloqués dans la chaîne 346 et comparés par la Commission dans sa décision amène le Tribunal de céans à la même conclusion : la collocation du poste de la recourante dans la chaîne 346 est cohérente. Le Tribunal renvoie ici pour l’essentiel aux arguments détaillés plus haut (cf. supra consid. III, lettre ca)) et rappelle que l’activité de conduite fait défaut au cahier des charges et aux activités effectuées par la recourante. A ce stade, il sied de rappeler que seul le cahier des charges en vigueur au moment de la bascule et les tâches effectuées au 1er mai 2008 peuvent être considérés. Si le poste de la recourante a évolué depuis, un changement du cahier des charges pourrait se justifier et amener dès lors une révision de sa collocation, mais cela ne saurait être l’objet de la présente procédure. da) En l’espèce, concernant le niveau de fonction et s’agissant de la cohérence tant interne que transversale, la Commission a considéré que le cahier des charges de la recourante diffère de ceux de postes similaires colloqués au niveau 8. La comparaison avec des postes de « secrétaires de direction » colloqués au niveau 7 de la chaîne 346 a permis de constater que les responsabilités et l’autonomie des titulaires de ces postes sont du même ordre que celles de la recourante, justifiant une collocation de leurs postes au même niveau. Il apparait dès lors qu’une collocation du poste de la recourante dans la chaîne 346 n’engendrerait aucune inégalité de traitement. Concernant la comparaison avec les postes colloqués au niveau 8, la Commission a constaté que les tâches de la recourante sont moins transversales et concernent un environnement plus restreint. A ce stade, le Tribunal de céans observe que le comparatif effectué par la Commission ne choque pas. A la lecture des cahiers des charges des</w:t>
      </w:r>
    </w:p>
    <w:p>
      <w:r>
        <w:t>- 31 - postes colloqués au niveau 8, le Tribunal constate en effet que ces positions sont plus centrales au sein de l’ACV que le poste de la recourante. Par ailleurs, l’analyse et le parallèle effectués par cette dernière avec des postes de secrétaires de direction au sein d’autres services de l’ACV (SPEN et SESAF), colloqués au niveau 8, n’emportent pas la conviction de l’autorité de céans. Par surabondance, le Tribunal a effectué une comparaison des tâches de la recourante avec celui de la titulaire du poste analysé dans le dossier DS09.009248 cité précédemment. Il ressort de cette analyse que, bien que leurs cahiers des charges soient similaires, celui du poste colloqué au niveau 8 comporte une composante de gestion de projet (notamment : « assumer l’organisation de la fête des écoles ») qui fait défaut dans celui de la recourante. Cet élément, ainsi que la comparaison des témoignages des deux Directeurs (soit des deux supérieurs respectifs), démontrent une autonomie moindre du poste de la recourante. De plus, et de manière plus déterminante, la conduite d’unité clairement établie au sujet du poste colloqué au niveau 8 finit de justifier une collocation de ce poste à un niveau supérieur. En définitive, le Tribunal est d’avis que, contrairement à ce qu’invoque la recourante, il n’y a pas d’inégalité de traitement invocable à son avantage lorsque l’on compare son poste avec des postes similaires colloqués au niveau 8. Les griefs de la recourante sur ce point sont donc rejetés. IV. Au vu des considérants ci-dessus, les moyens invoqués par la recourante tendant à la création d’un emploi-type spécifique doivent être automatiquement exclus. Le Tribunal renvoie à ce titre à la décision de la Commission, qui rappelle qu’il n’est pas nécessaire que toutes les activités décrites dans un cahier des charges figurent dans la fiche d’un emploi-type, ces activités ne pouvant conduire à un changement d’emploi-type « que si, manifestement, elles sont telles, par leur ampleur et leur nature, qu’elles</w:t>
      </w:r>
    </w:p>
    <w:p>
      <w:r>
        <w:t>- 32 - ne correspondent pas à l’emploi-type ». Le Tribunal considère à ce titre que l’attribution de l’emploi-type supplémentaire de « correspondante en ressources humaines » effectué par la Commission comble la différence entre les tâches effectuées par la recourante en matière de ressources humaines et l’emploi-type auquel elle a été attribuée. Les autres activités invoquées par la recourante comme étant exercées en sus de son cahier des charges ne sont pas d’ampleur et de nature à justifier l’attribution d’un emploi-type différent. V. En conclusion, dans la mesure où le poste de la recourante a été colloqué au niveau 7 de la chaîne 349, la Commission a abusé de son pouvoir d’appréciation et versé dans l’arbitraire en retenant la chaîne 349. La collocation dans cette chaîne engendre en outre une violation du principe de l’égalité de traitement. Au contraire, l’examen de la Commission au sujet du niveau de fonction 7 ne prête pas le flan à la critique. Ainsi, le recours de l’Etat de Vaud doit être admis, celui de la recourante très partiellement admis, et la décision de la Commission du 10 avril 2014 réformée en ce sens qu’il se justifie de colloquer le poste de la recourante au niveau 7 de la chaîne 346. VI. Les frais de deuxième instance sont arrêtés à 1000 fr. (art. 47 al. 2 LPA-VD, art. 4 al. 3 du tarif des frais judiciaires en matière de droit administratif et public du 11 décembre 2007 ; RSV 173.36.5.1). Le Tribunal estime, en équité, que les frais doivent être pris en charge à raison d’un quart par l’intimé et de trois-quarts par la recourante (49 al. 1 LPA-VD). Il n’y a pas lieu d’allouer de dépens à l’intimé, qui n’a pas engagé de frais externes pour la présente procédure.</w:t>
      </w:r>
    </w:p>
    <w:p>
      <w:r>
        <w:t>- 33 - Par ces motifs, statuant immédiatement, au complet, à huis clos et en contradictoire le Tribunal de Prud'hommes de l'administration cantonale prononce: I. Le recours de l’Etat de Vaud est admis. II. Le recours de Mme K.________ est très partiellement admis. III. La décision rendue le 10 avril 2014 par la Commission de recours DECFO-SYSREM est réformée comme suit : K.________ est colloquée dans l’emploi-type « secrétaire de direction », chaîne 346, niveau 7, dès le 1er décembre 2008. IV. Les frais de deuxième instance sont mis à hauteur de 750 fr. (sept-cent cinquante francs) à la charge de K.________ et par 250 fr. (deux cent cinquante francs) à la charge de l’Etat de Vaud. Les frais sont compensés par les avances déjà effectuées par chacune des parties. K.________ versera le solde de 250 fr. (deux cent cinquante francs) à l’Etat de Vaud. V. Toutes autres et plus amples conclusions sont rejetées. La présidente : La greffière : Juliette PERRIN, v.-p. Jessica FREI, a. h.</w:t>
      </w:r>
    </w:p>
    <w:p>
      <w:r>
        <w:t>- 34 - Du 7 février 2018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Jessica Frei,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