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DS09.009248 vom 10. April 2014</w:t>
      </w:r>
    </w:p>
    <w:p>
      <w:r>
        <w:t>VD Tribunal cantonal, 2014-04-10, FR</w:t>
      </w:r>
    </w:p>
    <w:p>
      <w:r>
        <w:rPr>
          <w:b/>
        </w:rPr>
        <w:t xml:space="preserve">Quelle: </w:t>
      </w:r>
      <w:r>
        <w:t>https://mcp.opencaselaw.ch/entscheid/vd_gerichte_DS09.009248</w:t>
      </w:r>
    </w:p>
    <w:p>
      <w:r>
        <w:t>FR: VD_GERICHTE DS09.009248 du 10 avril 2014</w:t>
      </w:r>
    </w:p>
    <w:p>
      <w:r>
        <w:t>IT: VD_GERICHTE DS09.009248 del 10 aprile 2014</w:t>
      </w:r>
    </w:p>
    <w:p>
      <w:pPr>
        <w:pStyle w:val="Heading2"/>
      </w:pPr>
      <w:r>
        <w:t>Erwägungen</w:t>
      </w:r>
    </w:p>
    <w:p>
      <w:r>
        <w:rPr>
          <w:b/>
        </w:rPr>
        <w:t>E. 8</w:t>
      </w:r>
    </w:p>
    <w:p>
      <w:r>
        <w:t>de la chaîne 346, travaillant au sein du Service d’analyse et de gestion financière (SAGEFI).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w:t>
      </w:r>
    </w:p>
    <w:p>
      <w:r>
        <w:t>- 32 -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En l’espèce, après une comparaison soigneuse des activités et cahiers des charges des quatre postes précités (cf. supra consid. V. a) )</w:t>
      </w:r>
    </w:p>
    <w:p>
      <w:r>
        <w:t>- 33 - avec celui occupé par l’intimée, la Commission est arrivée à la conclusion que, l’activité de conduite exercée par l’intimée n’ayant pas été prise en compte pour la collocation de son poste, la cohérence interne à l’Administration cantonale n’avait pas été respectée. La comparaison avec des postes de « secrétaires de direction » colloqués au niveau 7 de la chaîne 346 a permis de constater que la diversité de leurs tâches étaient moindres par rapport à celles de l’intimée, justifiant une collocation de leurs postes à un niveau inférieur. Concernant les postes colloqués au niveau 8, la Commission a constaté en premier lieu que leurs tâches de gestion du secrétariat étaient du même ordre. Elle a cependant estimé que l’absence de postes fonctionnellement subordonnés justifiait une collocation dans la chaîne 346 pour ces postes, alors qu’une chaîne de conduite s’imposait au poste de l’intimée, entraînant une collocation dans la chaîne 349. A ce stade, le tribunal observe que le comparatif effectué par la Commission ne choque pas. En effet, le cahier des charges de l’intimée mentionnant bien l’existence de « postes fonctionnellement subordonnés » ainsi que d’autres critères laissant penser à l’existence d’une conduite de personnel (cf. supra, consid. III, a) ), la collocation du poste de l’intimée au niveau 8 de la chaîne 349 n’entraîne aucune inégalité de traitement avec les postes de « secrétaires de direction » colloqués au même niveau mais dans la chaîne 346. Bien au contraire, il apparaît qu’une collocation du poste de l’intimée dans la chaîne 346 engendrerait, au vu de son cahier des charges, une inégalité de traitement à son égard. d) Le recourant a produit un bordereau de pièces contenant notamment les cahiers des charges de trois postes (P. 1, 4, et 6), à savoir : celui de « secrétaire de direction » colloqué au niveau 8 de la chaîne 349, travaillant au sein de la Direction pédagogique du DGEO, celui de « secrétaire de direction » colloqué au niveau 9 de la chaîne 349, travaillant au sein du Secrétariat Général du Département de l’Economie (DECS), et celui de « secrétaire de direction » colloqué au niveau 8 de la</w:t>
      </w:r>
    </w:p>
    <w:p>
      <w:r>
        <w:t>- 34 - chaîne 349, travaillant au sein de la Direction de ressources humaines du DGEO. Les cahiers des charges des postes cités ci-dessus prévoient notamment les tâches suivantes : « Conduire l’équipe du secrétariat » ou « Conduire l’unité administrative », et incluent la rubrique « Conduite : ETP directement subordonnés ». M. X.________ a déclaré que la présence de ces tâches confirmait que les postes avaient de la conduite de personnel au sens de la méthode GFO, tous les critères nécessaires à celle-ci étant réunis. D’une manière générale, une grande partie des tâches prévues par ces cahiers des charges sont similaires à celles prévues par celui de l’intimée (tenue du secrétariat, suivi des tâches administratives, etc…). S’il est vrai qu’il existe des différences (rédaction de documents destinés au Conseil d’Etat et au Grand Conseil, formation d’apprentis notamment), celles-ci sont contrebalancées par les activités spécifiques effectuées par l’intimée (cf. supra, consid. A, d), points 5°, 6° et 8° en particulier). Quand bien même la réalisation de ces tâches supplémentaires n’était pas déterminante, le tribunal constate que les trois cahiers des charges cités en comparaison ont un canevas actualisé et comprennent une terminologie adaptée à la méthode GFO (constat confirmé par M. X.________), ce qui n’est pas le cas de celui de l’intimée, comme cela a déjà été établi. Une comparaison cohérente de ces cahiers avec celui de l’intimée n’est dès lors pas directement possible. Ils permettent toutefois de constater une fois de plus l’importante différence de vocabulaire existant avec le cahier des charges de l’intimée et mettent en exergue son ambiguïté. e) Il résulte de ce qui précède que l’examen de la Commission ne prête pas le flan à la critique sous l’angle de la violation de l’égalité de traitement. Ce dernier grief du recourant est donc également rejeté. 5. En conclusion, l’intimée a été correctement colloquée au niveau 8 de la chaîne 349 de l’emploi-type de « secrétaire de direction ».</w:t>
      </w:r>
    </w:p>
    <w:p>
      <w:r>
        <w:t>- 35 - Les griefs soulevés par le recourant ont tous été écartés, de sorte qu’il y a lieu de rejeter intégralement le recours. Les frais de deuxième instance sont arrêtés à 500 fr. et mis à la charge du recourant (art. 47 al. 2, 49 al. 1 LPA-VD, art. 4 al. 3 du tarif des frais judiciaires en matière de droit administratif et public du 11 décembre 2007 ; RSV 173.36.5.1), qui succombe.</w:t>
      </w:r>
    </w:p>
    <w:p>
      <w:r>
        <w:t>- 36 - Par ces motifs, statuant immédiatement, au complet, à huis clos et en contradictoire le Tribunal de Prud'hommes de l'administration cantonale prononce: I. Le recours de l’Etat de Vaud est rejeté. II. La décision rendue le 10 avril 2014 par la Commission de recours DECFO-SYSREM est confirmée. III. Les frais de deuxième instance, par 500 fr. (cinq cents francs), sont mis à la charge du recourant Etat de Vaud. La présidente : La greffière : Juliette PERRIN, v.-p. Jessica Frei, a. h.</w:t>
      </w:r>
    </w:p>
    <w:p>
      <w:r>
        <w:t>- 37 - Du 15 avril 2015 Les motifs du jugement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La greffière : Jessica Frei,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