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DA25.001824 vom 12. Februar 2025</w:t>
      </w:r>
    </w:p>
    <w:p>
      <w:r>
        <w:t>VD Tribunal cantonal, 2025-02-12, FR</w:t>
      </w:r>
    </w:p>
    <w:p>
      <w:r>
        <w:rPr>
          <w:b/>
        </w:rPr>
        <w:t xml:space="preserve">Quelle: </w:t>
      </w:r>
      <w:r>
        <w:t>https://mcp.opencaselaw.ch/entscheid/vd_gerichte_DA25.001824</w:t>
      </w:r>
    </w:p>
    <w:p>
      <w:r>
        <w:t>FR: VD_GERICHTE DA25.001824 du 12 février 2025</w:t>
      </w:r>
    </w:p>
    <w:p>
      <w:r>
        <w:t>IT: VD_GERICHTE DA25.001824 del 12 febbraio 2025</w:t>
      </w:r>
    </w:p>
    <w:p>
      <w:pPr>
        <w:pStyle w:val="Heading2"/>
      </w:pPr>
      <w:r>
        <w:t>Erwägungen</w:t>
      </w:r>
    </w:p>
    <w:p>
      <w:r>
        <w:rPr>
          <w:b/>
        </w:rPr>
        <w:t>E. 1</w:t>
      </w:r>
    </w:p>
    <w:p>
      <w:r>
        <w:t>K.________, ressortissant algérien né le [...] 1992, sans domicile fixe en Suisse, célibataire et sans enfants, a été détenu dans le cadre d’une procédure pénale jusqu’au 24 janvier 2025. Par ordre du 22 janvier 2025, le Service de la population (ci- après : SPOP) a ordonné la détention administrative de K.________ pour une 351</w:t>
      </w:r>
    </w:p>
    <w:p>
      <w:r>
        <w:t>- 2 - durée de trois mois, du 24 janvier 2024 au 24 avril 2025. K.________ a été transféré à l’Etablissement de détention administrative de Frambois le 24 janvier 2024.</w:t>
      </w:r>
    </w:p>
    <w:p>
      <w:r>
        <w:rPr>
          <w:b/>
        </w:rPr>
        <w:t>E. 2</w:t>
      </w:r>
    </w:p>
    <w:p>
      <w:r>
        <w:t>Par ordonnance du 25 janvier 2025, le Tribunal des mesures de contrainte a confirmé que l’ordre de détention du 22 janvier 2025, pour une durée de trois mois, portant sur la période du 24 janvier 2025 au 24 avril 2025, notifié à K.________, était conforme aux principes de la légalité et de l’adéquation (I) et a dit que les frais de la cause étaient laissés à la charge de l’Etat (II).</w:t>
      </w:r>
    </w:p>
    <w:p>
      <w:r>
        <w:rPr>
          <w:b/>
        </w:rPr>
        <w:t>E. 3</w:t>
      </w:r>
    </w:p>
    <w:p>
      <w:r>
        <w:t>Par acte du 25 janvier 2025, K.________, par son conseil d’office, a recouru contre cette ordonnance en concluant, avec suite de frais et dépens, à sa réforme, en ce sens qu’il soit constaté que l’ordre de détention administrative du 22 janvier 2025 ne respecte pas les principes de la légalité et de l’adéquation et, partant, qu’il soit immédiatement libéré. Subsidiairement, il a conclu à sa remise en liberté conditionnée à la mise en œuvre de mesures de substitution, à forme d’une assignation à résidence avec obligation de se présenter auprès de l’autorité compétente. Plus subsidiairement, il a conclu à l’annulation de la décision et au renvoi de la cause à l’autorité précédente pour nouvelle décision dans les sens des considérants.</w:t>
      </w:r>
    </w:p>
    <w:p>
      <w:r>
        <w:rPr>
          <w:b/>
        </w:rPr>
        <w:t>E. 4</w:t>
      </w:r>
    </w:p>
    <w:p>
      <w:r>
        <w:t>Le 10 février 2024, le SPOP a ordonné la libération immédiate de K.________.</w:t>
      </w:r>
    </w:p>
    <w:p>
      <w:r>
        <w:rPr>
          <w:b/>
        </w:rPr>
        <w:t>E. 5</w:t>
      </w:r>
    </w:p>
    <w:p>
      <w:r>
        <w:t>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w:t>
      </w:r>
    </w:p>
    <w:p>
      <w:r>
        <w:t>- 3 -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w:t>
      </w:r>
    </w:p>
    <w:p>
      <w:r>
        <w:rPr>
          <w:b/>
        </w:rPr>
        <w:t>E. 6</w:t>
      </w:r>
    </w:p>
    <w:p>
      <w:r>
        <w:t>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Par ailleurs, 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10 octobre 2018/732).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 Tribunal fédéral entre aussi en matière, en dépit de la disparition d’un intérêt actuel, sur le recours d’une personne</w:t>
      </w:r>
    </w:p>
    <w:p>
      <w:r>
        <w:t>- 4 - s’estimant lésée dans ses droits reconnus par la CEDH, si le recourant formule son grief de manière défendable (ATF 139 I 206 consid. 1.2.1 en matière de détention administrative ; ATF 137 I 296 consid. 4.3.4 ; TF 2C_626/2019 du 2 juillet 2019 consid. 4 ; TF 2C_830/2015 du 1er avril 2016 consid. 1.2).</w:t>
      </w:r>
    </w:p>
    <w:p>
      <w:r>
        <w:rPr>
          <w:b/>
        </w:rPr>
        <w:t>E. 7</w:t>
      </w:r>
    </w:p>
    <w:p>
      <w:r>
        <w:t>En l’espèce, le recours a été déposé auprès de l’autorité compétente par une personne qui était placée en détention administrative et qui avait, lors de son dépôt, un intérêt digne de protection à la modification ou à l’annulation de l’ordonnance querellée. Cependant, le recourant a été libéré entre temps de sorte que son recours, qui tendait à l’annulation de l’ordonnance et à sa libération immédiate, a perdu son objet. Au surplus, il n’apparaît pas que, nonobstant la perte de son intérêt actuel et pratique, le recours ait encore un objet. En effet, le recourant ne fait pas valoir dans son acte de recours avoir été lésé dans ses droits reconnus par la CEDH par la détention en cause – même s’il soutient que l’exécution de son renvoi serait contraire à ses droits protégés par cette convention – ni ne demande la constatation d’une telle violation. Il y a par conséquent lieu de constater que le recours est sans objet et de rayer la cause du rôle.</w:t>
      </w:r>
    </w:p>
    <w:p>
      <w:r>
        <w:rPr>
          <w:b/>
        </w:rPr>
        <w:t>E. 8</w:t>
      </w:r>
    </w:p>
    <w:p>
      <w:r>
        <w:t>Compte tenu du mémoire déposé et de la complexité de la cause, une indemnité de 540 fr. sera allouée à Me Frédéric Charpié pour la procédure de recours, correspondant à 3 heures d'activité nécessaire d’avocat au tarif horaire de 180 fr. (art. 18 al. 5 LPA-VD ; art. 2 al. 1 let. a et 3 al. 2 RAJ [Règlement sur l'assistance judiciaire en matière civile du 7 décembre 2010 ; BLV 211.02.3]). S'y ajoutent 2 % pour les débours forfaitaires (art. 3bis al. 1 RAJ), par 10 fr. 80, et 8,1 % de TVA sur le tout, par 440 fr. 60, de sorte que l'indemnité d'office sera arrêtée à 596 fr. au total en chiffres arrondis. Cette indemnité sera laissée à la charge de l’Etat dès lors que le recours est devenu sans objet pour un motif qui n’est pas imputable au recourant</w:t>
      </w:r>
    </w:p>
    <w:p>
      <w:r>
        <w:t>- 5 - (TF 1B_308/2021 du 5 juillet 2021 consid. 3 ; TF 1B_123/2021 du 27 avril 2021 consid. 7.2). L’arrêt sera rendu sans frais (art. 50 LPA-VD par renvoi de l’art. 31 al. 6 LVLEI). Par ces motifs, la Chambre des recours pénale prononce : I. Le recours est sans objet. II. La cause est rayée du rôle. III. L’indemnité allouée à Me Frédéric Charpié, conseil d’office de K.________, est fixée à 596 fr. (cinq cent nonante-six francs) et laissée à la charge de l’Etat. IV. L’arrêt, rendu sans frais, est exécutoire. Le président : Le greffier : Du Le présent arrêt, dont la rédaction a été approuvée à huis clos, est notifié, par l'envoi d'une copie complète, à : - Me Frédéric Charpié, avocat (pour K.________) , - Service de la population, et communiqué à : - Mme la Présidente du Tribunal des mesures de contrainte, - M. le Président de la Cour d’appel pénale, par l’envoi de photocopies.</w:t>
      </w:r>
    </w:p>
    <w:p>
      <w:r>
        <w:t>- 6 -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