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DA25.000966 vom 29. Januar 2025</w:t>
      </w:r>
    </w:p>
    <w:p>
      <w:r>
        <w:t>VD Tribunal cantonal, 2025-01-29, FR</w:t>
      </w:r>
    </w:p>
    <w:p>
      <w:r>
        <w:rPr>
          <w:b/>
        </w:rPr>
        <w:t xml:space="preserve">Quelle: </w:t>
      </w:r>
      <w:r>
        <w:t>https://mcp.opencaselaw.ch/entscheid/vd_gerichte_DA25.000966</w:t>
      </w:r>
    </w:p>
    <w:p>
      <w:r>
        <w:t>FR: VD_GERICHTE DA25.000966 du 29 janvier 2025</w:t>
      </w:r>
    </w:p>
    <w:p>
      <w:r>
        <w:t>IT: VD_GERICHTE DA25.000966 del 29 gennaio 2025</w:t>
      </w:r>
    </w:p>
    <w:p>
      <w:pPr>
        <w:pStyle w:val="Heading2"/>
      </w:pPr>
      <w:r>
        <w:t>Erwägungen</w:t>
      </w:r>
    </w:p>
    <w:p>
      <w:r>
        <w:rPr>
          <w:b/>
        </w:rPr>
        <w:t>E. 27</w:t>
      </w:r>
    </w:p>
    <w:p>
      <w:r>
        <w:t>septembre 2022 lui a été imparti pour quitter le pays et il a été averti que s’il ne quittait pas la Suisse, il pourrait être placé en détention administrative. Le 17 août 2023, Y.________ a été arrêté par la police de Bâle- Ville et a été remis aux autorités cantonales vaudoises le lendemain, date à laquelle il a été placé en détention administrative, de laquelle il a été libéré le 1er novembre 2023 pour des raisons médicales. Y.________ fait l’objet d’une interdiction d’entrée sur le territoire suisse valable du 25 septembre 2023 au 24 septembre 2026. Par décision du 26 juillet 2024, le SEM a rejeté une demande de réexamen de la demande d’asile déposée par Y.________ le 14 décembre 2023. Y.________ a été arrêté par la police à son domicile à Lausanne le 15 janvier 2025. Il est depuis lors détenu dans le Centre de détention administrative de Frambois. B. Par ordre du 15 janvier 2025, le Service de la population (ci- après : SPOP) a ordonné la détention administrative de Y.________ pour une durée d’un mois, du 15 janvier 2025 au 15 février 2025, au motif qu’il existait des indices concrets faisant craindre qu’il se soustraie à son renvoi au Nigéria, savoir que bien qu’il ait été averti qu’il ferait l’objet de mesures de contrainte s’il ne quittait pas la Suisse, il y était demeuré, qu’il avait disparu et fait l’objet d’un signalement RIPOL, qu’il avait caché sa véritable nationalité aux autorités, qu’il n’avait pas déposé de documents d’identité ou de voyage ni entrepris de démarches en vue de s’en procurer, qu’il ne s’était pas présenté à l’aéroport le 19 janvier 2023 en vue de son départ à destination de Lagos, qu’il avait refusé d’embarquer sur le vol à cette même destination organisé par la police cantonale le 25</w:t>
      </w:r>
    </w:p>
    <w:p>
      <w:r>
        <w:t>- 3 - septembre 2023 et qu’il avait déclaré aux autorités qu’il refusait de partir au Nigéria. Y.________, par son conseil d’office, s’est déterminé le 16 janvier 2025 et a conclu à sa libération immédiate, au besoin conditionnée à des mesures de substitution. Par ordonnance du 17 janvier 2025, le Tribunal des mesures de contrainte a confirmé que l’ordre de détention du 15 janvier 2025, pour une durée d’un mois, portant sur la période du 15 janvier 2025 au 15 février 2015, notifié à Y.________, était conforme aux principes de la légalité et de l’adéquation (I) et a dit que les frais de la cause étaient laissés à la charge de l’Etat (II). Cette autorité a considéré que le comportement de Y.________ laissait craindre qu’il se soustraie à son renvoi, qu’aucune mesure de substitution ne permettait de palier ce risque, que le SEM avait réexaminé sa situation médicale et avait considéré que celle-ci ne s’opposait pas à son renvoi, qu’il avait été reconnu par les autorités nigérianes et n’avait pas produit de documents permettant d’attester qu’il serait d’origine ougandaise et que sa détention administrative était proportionnée. C. Par acte du 27 janvier 2025, Y.________ a, par l’intermédiaire de son conseil d’office, recouru contre cette ordonnance en concluant, avec suite de frais et dépens, à sa réforme, en ce sens que l’ordre de détention du 15 janvier 2025 est rejeté dans la mesure où il n’est pas conforme aux principes de la légalité et de l’adéquation. Subsidiairement il a conclu à l’annulation de l’ordonnance et au renvoi de la cause au Tribunal des mesures de contrainte pour nouvelle décision dans le sens des considérants. Il n’a pas été ordonné d’échange d’écritures. En d roit :</w:t>
      </w:r>
    </w:p>
    <w:p>
      <w:r>
        <w:t>- 4 - 1.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w:t>
      </w:r>
    </w:p>
    <w:p>
      <w:r>
        <w:rPr>
          <w:b/>
        </w:rPr>
        <w:t>E. 28</w:t>
      </w:r>
    </w:p>
    <w:p>
      <w:r>
        <w:t>octobre 2008 ; BLV 173.36). 1.2 En l’espèce, déposé en temps utile, auprès de l’autorité compétente, par le conseil d’office d’une personne placée en détention administrative, qui a un intérêt digne de protection à l’annulation de l’ordonnance querellée, le recours est recevable. 2. Le recourant invoque une constatation inexacte des faits et une violation des art. 80 LEI et 3 CEDH. Il soutient qu’il n’est pas de nationalité nigériane, mais ougandaise, de sorte que son renvoi au Nigéria serait impossible. Il expose ensuite que son état de santé ne lui permettrait pas d’être expulsé. Il rappelle que cet état de santé avait justifié la levée de sa détention administrative par le Tribunal des mesures de contrainte par ordonnance du 1er novembre 2023, et qu’il se serait péjoré depuis lors, selon deux attestations médicales du 16 janvier 2025 qu’il a produites avec son recours, de sorte que son renvoi entraînerait un déclin grave, rapide et irréversible de sa santé. A cet égard, il expose qu’il n’aurait pas accès aux soins nécessaires au Nigéria – pays où il n’aurait pas de famille et dont il ne serait pas originaire – et que la réserve de</w:t>
      </w:r>
    </w:p>
    <w:p>
      <w:r>
        <w:t>- 5 - médicaments prévue en parallèle de son renvoi ne serait pas suffisante à éviter une péjoration définitive de son état de santé. Son renvoi serait également impossible – et contraire à l’art. 3 CEDH – en raison de son appartenance à la communauté LGBT, dont les membres seraient traqués, persécutés et torturés au Nigéria. Enfin, la décision entreprise serait inopportune car un renvoi du recourant dans ce pays connaissant une situation sécuritaire et politique instable l’exposerait à des risques concrets de mise en danger. 2.1 2.1.1 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w:t>
      </w:r>
    </w:p>
    <w:p>
      <w:r>
        <w:t>- 6 - RS 142.31), ou (ch. 4) si son comportement permet de conclure qu’elle se refuse à obtempérer aux instructions des autorités. Les chiffres 3 et 4 de l’art. 76 al. 1 let. b LEI décrivent des comportements permettant de conclure à l’existence d’un risque de fuite ou de disparition et peuvent donc être envisagés ensemble (TF 2C_204/2024 du 4 novembre 2024 consid. 4.2 et les références citées).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La jurisprudence exige des indices concrets en ce sens (ATF 142 I 135 consid. 4.1 ; TF 2C_38/2022 du 7 juillet 2022 consid 2.3 et les réf.). Les motifs énumérés à l’art. 76 al. 1 let. b LEI sont alternatifs (CREP 4 septembre 2023/698 consid. 3.2.1). 3.1.2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w:t>
      </w:r>
    </w:p>
    <w:p>
      <w:r>
        <w:t>- 7 -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w:t>
      </w:r>
    </w:p>
    <w:p>
      <w:r>
        <w:t>- 8 - exemple en cas de guerre, de guerre civile, de violence généralisée ou de nécessité médicale (al. 4). 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 citées). 3.2 En l’espèce, il est incontestable que le recourant présente un risque de soustraction à son renvoi, pour les motifs exposés dans l’ordre de détention litigieux, savoir que bien qu’il ait été averti qu’il ferait l’objet de mesures de contrainte s’il ne quittait pas la Suisse, il y est demeuré, qu’il a disparu et fait l’objet d’un signalement RIPOL, qu’il a caché sa véritable nationalité aux autorités, qu’il n’a pas déposé de documents d’identité ou de voyage ni entrepris de démarches en vue de s’en procurer, qu’il ne s’est pas présenté à l’aéroport le 19 janvier 2023 en vue de son départ à destination de Lagos, qu’il a refusé d’embarquer sur le vol à cette même destination organisé par la police cantonale le 25 septembre 2023 et qu’il a déclaré aux autorités qu’il refusait de partir au Nigéria. Le recourant ne semble du reste et à juste titre pas le contester.</w:t>
      </w:r>
    </w:p>
    <w:p>
      <w:r>
        <w:t>- 9 - S’agissant de sa nationalité, le recourant n’est jusqu’ici pas parvenu à étayer ses allégations selon lesquelles il serait en réalité de nationalité ougandaise, et pour cause. D’une part, il a été soumis le 10 août 2022 à une expertise LINGUA, dans le cadre de laquelle l’expert a conclu qu’il parlait clairement l’anglais nigérian. D’autre part, le 19 octobre 2022, il a été auditionné par une délégation du Nigéria, laquelle a confirmé la nationalité de l’intéressé. Le 30 août 2023, il s’était montré disposé à retourner au Nigéria, pour autant qu’une aide financière et une réserve de médicaments lui soient fournies. On trouve d’ailleurs au dossier un document signé de sa main, daté du 31 août 2023, selon lequel il déclare notamment avoir bien réfléchi sur l’objet de sa détention et être prêt à rentrer dans son pays, le Nigéria. Enfin, dans le cadre de la procédure d’asile, ses déclarations sur son vécu en Ouganda et en Afrique du sud ont été considérées comme étant invraisemblables et peu crédibles. Il apparaît ainsi évident que Y.________ prétend être de nationalité ougandaise pour faire obstacle à son renvoi. Concernant l’état de santé du recourant, il faut en premier lieu rappeler que, de jurisprudence constante, un étranger ne peut pas exciper de l'existence en Suisse de prestations médicales de qualité supérieure pour s'opposer à son renvoi dans un pays où le traitement s'avère disponible (cf. TF 6B_1262/2023 du 1er juillet 2024 consid. 1.6 ; TF 6B_244/2023 du 25 août 2023 consid. 6.8 ; TF 6B_1226/2021 du 1er avril 2022 consid. 2.3.1 ; TF 6B_708/2020 du 11 mars 2021 consid. 5.3) et qu'il ne suffit pas non plus d'invoquer que le traitement ne serait pas disponible à un prix abordable (TF 6B_244/2023 précité consid. 6.8 ; TF 6B_822/2021 du 4 juillet 2022 consid. 2.4). Or, en l’espèce, dans sa décision du 26 juillet 2024, le SEM a réexaminé la situation médicale de Y.________, et a exposé que le glaucome était une affection fréquente au Nigéria, la maladie touchant entre 1 et 5% de la population, qu’il existait dans ce pays des infrastructures médicales susceptible de prendre en charge cette affection et d’assurer les contrôles nécessaires, le glaucome pouvait être aisément traité au Nigéria et les médications nécessaires y étant disponibles. Le SEM a ajouté qu’il était aisé de se procurer des traitements ou des</w:t>
      </w:r>
    </w:p>
    <w:p>
      <w:r>
        <w:t>- 10 - médications contre le glaucome au Nigéria, par exemple sous la forme de gouttes ophtalmiques ou de collyres, et qu’il était également possible d’y subir des interventions chirurgicales dans les nombreux hôpitaux disséminés sur le territoire national. Par ailleurs, les problèmes psychologiques rencontrés par le recourant pouvaient également être pris en charge de façon adéquate dans ce pays. Le recourant ne se trouve ainsi pas dans une des situations exceptionnelles – telles qu’exigées par la jurisprudence – dans lesquelles son renvoi au Nigéria l’exposerait au risque qu’il soit traité d’une manière contraire à l'art. 3 CEDH. Le fait que sa libération ait été ordonnée en novembre 2023 en relation avec son état de santé n’y change rien. On relèvera encore que les documents médicaux produits ne sont pas non plus susceptibles de modifier cette appréciation. En effet, si le rapport médical du 16 janvier 2025 émanant de l’Hôpital ophtalmique [...] fait état de la gravité de l’état de santé ophtalmologique du recourant et des risques encourus en l’absence d’un suivi médical adapté, il ne se prononce en rien sur ce qu’il en serait en cas de renvoi de l’intéressé au Nigéria. Or, ainsi que l’on vient de le voir, un traitement et une médication adaptés à cette pathologie sont disponibles dans ce pays. Quant au rapport du Service de psychiatrie communautaire du CHUV, daté du 16 janvier 2025 également, il n’indique pas que l’état de santé psychiatrique du recourant serait incompatible avec son renvoi, mais expose bien plutôt qu’une coordination de soins psychiatriques et somatiques doivent être mis en place. S’agissant, enfin, de l’orientation sexuelle du recourant, elle ne fait pas non plus obstacle à son renvoi. En effet, de jurisprudence constante, quand bien même l'homosexualité est considérée comme un délit pénalement répréhensible au Nigéria, les homosexuels peuvent y vivre relativement librement, dans la mesure où ils demeurent discrets sur leur orientation sexuelle, en particulier à Lagos et dans les autres villes du sud du pays (cf. arrêts du Tribunal administratif fédéral E-5499/2013 du 13 octobre 2013 ; E-3462/2013 du 29 janvier 2013 ; E 832/2010 du 19 février 2010).</w:t>
      </w:r>
    </w:p>
    <w:p>
      <w:r>
        <w:t>- 11 - En conclusion, aucune raison juridique ou matérielle importante au sens de la jurisprudence stricte rendue en la matière ne s’oppose au renvoi de Y.________ au Nigéria, de sorte que c’est à juste titre que le Tribunal des mesures de contrainte a considéré que sa détention administrative était conforme aux principes de la légalité et de l’adéquation. Cette détention est en outre la seule mesure permettant de garantir l’exécution du renvoi, aucune mesure moins coercitive ne permettant de palier le risque de soustraction retenu, ce que le recourant ne soutient du reste plus dans son recours. Il ne conteste pas non plus que la durée de sa détention administrative, d’un mois, est proportionnée, ce qui est manifestement le cas en l’espèce, aucun indice ne laissant penser que le SPOP – qui a déjà entrepris des démarches en vue du renvoi – ne respectera pas le principe de célérité. 3. Au vu de ce qui précède, le recours interjeté par Y.________ doit être rejeté et l’ordonnance entreprise confirmée. Le conseil d’office du recourant a produit une liste d’opérations dont il n’y a pas lieu de s’écarter. C’est donc une indemnité de 615 fr. qui sera allouée à Me Raphaël Hämmerli pour la procédure de recours, correspondant à 3 heures et 25 minutes d'activité d’avocat au tarif horaire de 180 fr. (art. 18 al. 5 LPA- VD ; art. 2 al. 1 let. a et 3 al. 2 RAJ [Règlement sur l'assistance judiciaire en matière civile du 7 décembre 2010 ; BLV 211.02.3]). S'y ajoutent 2 % pour les débours forfaitaires (art. 3bis al. 1 RAJ), par 12 fr. 30, et 8,1 % de TVA sur le tout, par 50 fr. 80, de sorte que l'indemnité d'office sera arrêtée à 679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w:t>
      </w:r>
    </w:p>
    <w:p>
      <w:r>
        <w:t>- 12 - L’arrêt sera rendu sans frais (art. 50 LPA-VD par renvoi de l’art.</w:t>
      </w:r>
    </w:p>
    <w:p>
      <w:r>
        <w:rPr>
          <w:b/>
        </w:rPr>
        <w:t>E. 31</w:t>
      </w:r>
    </w:p>
    <w:p>
      <w:r>
        <w:t>al. 6 LVLEI). Par ces motifs, la Chambre des recours pénale prononce : I. Le recours est rejeté. II. L’ordonnance du 17 janvier 2025 est confirmée. III. L’indemnité allouée à Me Raphaël Hämmerli, conseil d’office de Y.________, est fixée à 679 fr. (six cent septante-neuf francs). IV. Y.________ sera tenu de rembourser l’indemnité due à son conseil d’office, mise provisoirement à la charge de l’Etat, dès qu’il sera en mesure de le faire. V. L’arrêt, rendu sans frais, est exécutoire. Le président : Le greffier : Du Le présent arrêt, dont la rédaction a été approuvée à huis clos, est notifié, par l'envoi d'une copie complète, à : - Me Raphaël Hämmerli, avocat (pour Y.________), - Service de la population, Secteur départs, et communiqué à : - Mme la Première Présidente du Tribunal des mesures de contrainte, - Etablissement de détention administrative de Frambois, Vernier (GE), par l’envoi de photocopies.</w:t>
      </w:r>
    </w:p>
    <w:p>
      <w:r>
        <w:t>- 13 -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