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DA24.012450 vom 26. Juni 2024</w:t>
      </w:r>
    </w:p>
    <w:p>
      <w:r>
        <w:t>VD Tribunal cantonal, 2024-06-26, FR</w:t>
      </w:r>
    </w:p>
    <w:p>
      <w:r>
        <w:rPr>
          <w:b/>
        </w:rPr>
        <w:t xml:space="preserve">Quelle: </w:t>
      </w:r>
      <w:r>
        <w:t>https://mcp.opencaselaw.ch/entscheid/vd_gerichte_DA24.012450</w:t>
      </w:r>
    </w:p>
    <w:p>
      <w:r>
        <w:t>FR: VD_GERICHTE DA24.012450 du 26 juin 2024</w:t>
      </w:r>
    </w:p>
    <w:p>
      <w:r>
        <w:t>IT: VD_GERICHTE DA24.012450 del 26 giugno 2024</w:t>
      </w:r>
    </w:p>
    <w:p>
      <w:pPr>
        <w:pStyle w:val="Heading2"/>
      </w:pPr>
      <w:r>
        <w:t>Erwägungen</w:t>
      </w:r>
    </w:p>
    <w:p>
      <w:r>
        <w:rPr>
          <w:b/>
        </w:rPr>
        <w:t>E. 1.1</w:t>
      </w:r>
    </w:p>
    <w:p>
      <w:r>
        <w:t>Le Tribunal des mesures de contrainte statue sur la légalité et l’adéquation de la détention administrative, conformément aux art. 80 al.</w:t>
      </w:r>
    </w:p>
    <w:p>
      <w:r>
        <w:rPr>
          <w:b/>
        </w:rPr>
        <w:t>E. 1.2</w:t>
      </w:r>
    </w:p>
    <w:p>
      <w:r>
        <w:t>En l’espèce, déposé en temps utile, auprès de l’autorité compétente, par une personne placée en détention administrative qui a un intérêt digne de protection à l’annulation de l’ordonnance attaquée, le recours est recevable.</w:t>
      </w:r>
    </w:p>
    <w:p>
      <w:r>
        <w:rPr>
          <w:b/>
        </w:rPr>
        <w:t>E. 2</w:t>
      </w:r>
    </w:p>
    <w:p>
      <w:r>
        <w:t>LEI (loi fédérale sur les étrangers et l’intégration du 16 décembre 2005 ; RS 142.20) et 11 al. 1 et 16a LVLEI (loi d’application dans le canton de Vaud de la loi fédérale sur les étrangers et l’intégration du 18 décembre 2007 ; BLV 142.11).</w:t>
      </w:r>
    </w:p>
    <w:p>
      <w:r>
        <w:t>- 5 -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2.1</w:t>
      </w:r>
    </w:p>
    <w:p>
      <w:r>
        <w:t>Le recourant soutient en substance que l’exécution de son renvoi s’avère impossible pour des raisons matérielles, savoir de graves problèmes de santé. Il se prévaut à cet égard de son dossier médical, produit en annexe à son recours, qui ferait état de séquelles consécutives à un traumatisme crânio-cérébral. Son état de santé serait jugé précaire selon les médecins et nécessiterait une prise en charge pluridisciplinaire au CHUV.</w:t>
      </w:r>
    </w:p>
    <w:p>
      <w:r>
        <w:rPr>
          <w:b/>
        </w:rPr>
        <w:t>E. 2.2.1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- 6 - Aux termes de l’art. 76 al. 1 let. b LEI, 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 Les chiffres 3 et 4 de l’art. 76 al. 1 let. b LEI décrivent des comportements permettant de conclure à l’existence d’un risque de fuite ou de disparition et peuvent donc être envisagés ensemble (Zünd, Kommentar Migrationsrecht, 4e éd., Zurich 2015, n. 6 ad. art. 76 LEI).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La jurisprudence exige des indices concrets en ce sens (ATF 142 I 135 consid. 4.1 ; TF 2C_38/2022 du</w:t>
      </w:r>
    </w:p>
    <w:p>
      <w:r>
        <w:rPr>
          <w:b/>
        </w:rPr>
        <w:t>E. 2.2.2</w:t>
      </w:r>
    </w:p>
    <w:p>
      <w:r>
        <w:t>Aux termes de l’art. 80 al. 6 let. a LEI, la détention doit être levée si l’exécution du renvoi ou de l’expulsion s’avère impossible pour des raisons juridiques ou matérielles. Dans ce cas, elle ne peut en effet plus être justifiée par une procédure d’éloignement en cours ; de plus, elle</w:t>
      </w:r>
    </w:p>
    <w:p>
      <w:r>
        <w:t>- 7 -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2022 consid. 4.2 ; TF 2C_213/2022 du 30 mars 2022 consid. 4.2 et les réf.). Tel est par exemple le cas d’un détenu présentant des atteintes à sa santé si importantes, que celles-ci rendent impossible son transport pendant une longue période (TF 2C_129/2023 du 30 mars 2023 consid. 6.1 ; TF 2C_560/2021 du 3 août 2021 consid. 7.1 ; TF 2C_951/2015 du 17 novembre 2015 consid. 3.1), ou qu’un Etat refuse de reprendre certains de ses ressortissants (ATF 125 Il 217 consid. 2 ; Göksu, SHK, Bundesgesetz über die Ausländerinnen und Ausländer, Berne 2010, n. 21 ad art. 80 LEI).</w:t>
      </w:r>
    </w:p>
    <w:p>
      <w:r>
        <w:rPr>
          <w:b/>
        </w:rPr>
        <w:t>E. 2.2.3</w:t>
      </w:r>
    </w:p>
    <w:p>
      <w:r>
        <w:t>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w:t>
      </w:r>
    </w:p>
    <w:p>
      <w:r>
        <w:rPr>
          <w:b/>
        </w:rPr>
        <w:t>E. 2.3</w:t>
      </w:r>
    </w:p>
    <w:p>
      <w:r>
        <w:t>En l’espèce, le recourant ne conteste pas, à juste titre, que les conditions légales posées par l’art. 76 al. 1 let. b ch. 3 et 4 LEI pour la mise en détention administrative sont manifestement réalisées, pour les motifs exposés par le SPOP et le Tribunal des mesures de contrainte, à savoir qu’il existe de nombreux indices concrets faisant craindre qu’il veuille se soustraire à son refoulement.</w:t>
      </w:r>
    </w:p>
    <w:p>
      <w:r>
        <w:t>- 8 - Cela étant, les conditions exceptionnelles posées par l’art. 80 al. 6 LEI ne sont pas réalisées dans la mesure où il n’existe aucune impossibilité juridique ou matérielle à l’exécution du renvoi du recourant en Algérie. Il résulte effectivement du dossier médical produit par le recourant qu’il est suivi auprès du CHUV pour des céphalées et un trouble des muscles masticateurs depuis octobre 2021, qui engendrent des troubles du sommeil et des acouphènes. Ces troubles sont toutefois essentiellement soignés par une médication (antidouleurs et anti- inflammatoires) et par de la physiothérapie. S’il est vrai que dans un rapport du 2 décembre 2022, le Dr [...] envisageait des infiltrations locales et de l’acupuncture, on ignore si ces traitements ont été mis en œuvre. S’il est vrai également que dans un certificat médical du 4 janvier 2021, la Dre [...] a attesté du fait que le recourant présentait un état de santé précaire nécessitant une prise en charge pluridisciplinaire au CHUV, il n’apparaît quoi qu’il en soit pas que les affections dont il souffre l’exposent à un risque réel d'être confrontée à un déclin grave, rapide et irréversible de son état de santé entraînant des souffrances intenses ou à une réduction significative de son espérance de vie (cf. à ce cet égard TF 2C_256/2023 du 17 mai 2023 consid. 5.2 et les références citées, notamment arrêt CourEDH Paposhvili c. Belgique du 13 décembre 2016, n° 41738/10 § 183). Il n’est en particulier pas démontré que le recourant ne pourrait pas bénéficier de tous les soins nécessaires – dont notamment un suivi régulier pour des céphalées et l’obtention d’antidouleurs et d’anti-inflammatoires – en Algérie. En d’autres termes, l’état de santé du recourant n’atteint de très loin pas le seuil de gravité requis par la jurisprudence précitée pour faire obstacle à son renvoi. Enfin, le recourant n’invoque pas la violation du principe de la proportionnalité. De toute manière, ce principe est respecté dans la mesure où la durée de trois mois, conforme à l’art. 79 al. 1 LEI, s’impose pour permettre à l’autorité d’organiser le retour du recourant en Algérie. En outre, il n’existe aucune autre mesure moins coercitive que la détention susceptible de contenir le risque de fuite ou de disparition</w:t>
      </w:r>
    </w:p>
    <w:p>
      <w:r>
        <w:t>- 9 - retenu. Le recourant ne l’invoque pas ni du reste ne propose de telles mesures. Dans ces circonstances, c’est à raison que le Tribunal des mesures de contrainte a retenu que la détention administrative de E.________ était justifiée et proportionnée. 3. Il résulte de ce qui précède que le recours, manifestement mal fondé (art. 82 al. 1 LPA-VD par renvoi de l’art. 31 al. 6 LVLEI), doit être rejeté et l’ordonnance entreprise confirmée. Me Vladimir Chautems, conseil d’office du recourant, a déposé une liste d’opérations dont il n’y a pas lieu de s’écarter. Son indemnité sera donc fixée compte tenu de 2h30 d'activité d’avocat au tarif horaire de 180 fr. (art. 2 al. 1 let. a et 3 al. 2 RAJ [règlement sur l'assistance judiciaire en matière civile du 7 décembre 2010 ; BLV 211.02.3] par renvoi des art. 31 al. 6 LVLEI et 18 al. 5 LPA-VD), soit 450 francs. S'y ajoutent 2 % pour les débours forfaitaires (art. 3bis al. 1 RAJ), soit 9 fr., et 8,1 % de TVA sur le tout, soit 37 fr. 20, de sorte que l'indemnité d'office est arrêtée au total à 497 fr. en chiffres arrondis. Le recourant sera tenu de rembourser l’indemnité due à son conseil d’office, mise provisoirement à la charge de l’Etat, dès qu’il sera en mesure de le faire (art. 123 CPC [Code de procédure civile du 19 décembre 2008 ; RS 272] par renvoi des 31 al. 6 LVLEI et 18 al. 5 LPA-VD). L’arrêt sera rendu sans frais (art. 50 LPA-VD par renvoi de l’art. 31 al. 6 LVLEI ; CREP 27 décembre 2023/1047 ; CREP 31 octobre 2023/869).</w:t>
      </w:r>
    </w:p>
    <w:p>
      <w:r>
        <w:t>- 10 - Par ces motifs, la Chambre des recours pénale prononce : I. Le recours est rejeté. II. L’ordonnance du 8 juin 2024 est confirmée. III. L’indemnité allouée à Me Vladimir Chautems, conseil d’office de E.________, est fixée à 497 fr. (quatre cent nonante-sept francs). IV. E.________ sera tenu de rembourser l’indemnité due à son conseil d’office, mise provisoirement à la charge de l’Etat, dès qu’il sera en mesure de le faire. V. L’arrêt, rendu sans frais, est exécutoire. Le président : Le greffier : Du Le présent arrêt, dont la rédaction a été approuvée à huis clos, est notifié, par l'envoi d'une copie complète, à : - Me Vladimir Chautems, avocat (pour E.________), - Service de la population, Secteur départs, et communiqué à : - Mme la Présidente du Tribunal des mesures de contrainte, - Etablissement de détention administrative de Frambois, Vernier (GE), par l’envoi de photocopies.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r>
        <w:rPr>
          <w:b/>
        </w:rPr>
        <w:t>E. 7</w:t>
      </w:r>
    </w:p>
    <w:p>
      <w:r>
        <w:t>juillet 2022 consid 2.3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