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DA23.020386 vom 13. November 2023</w:t>
      </w:r>
    </w:p>
    <w:p>
      <w:r>
        <w:t>VD Tribunal cantonal, 2023-11-13, FR</w:t>
      </w:r>
    </w:p>
    <w:p>
      <w:r>
        <w:rPr>
          <w:b/>
        </w:rPr>
        <w:t xml:space="preserve">Quelle: </w:t>
      </w:r>
      <w:r>
        <w:t>https://mcp.opencaselaw.ch/entscheid/vd_gerichte_DA23.020386</w:t>
      </w:r>
    </w:p>
    <w:p>
      <w:r>
        <w:t>FR: VD_GERICHTE DA23.020386 du 13 novembre 2023</w:t>
      </w:r>
    </w:p>
    <w:p>
      <w:r>
        <w:t>IT: VD_GERICHTE DA23.020386 del 13 novembre 2023</w:t>
      </w:r>
    </w:p>
    <w:p>
      <w:pPr>
        <w:pStyle w:val="Heading2"/>
      </w:pPr>
      <w:r>
        <w:t>Erwägungen</w:t>
      </w:r>
    </w:p>
    <w:p>
      <w:r>
        <w:rPr>
          <w:b/>
        </w:rPr>
        <w:t>E. 1.1</w:t>
      </w:r>
    </w:p>
    <w:p>
      <w:r>
        <w:t>Le Tribunal des mesures de contrainte statue sur la légalité et l’adéquation de la détention administrative conformément à l’art. 80a al. 3 LEI (art. 16a al. 2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auprès de la Chambre des recours pénale (art. 26 al. 1 ROTC [Règlement organique du Tribunal cantonal du 13 novembre 2007 ; BLV 173.31.1]), dans les dix jours dès la notification de la décision attaquée. L’acte de recours est signé et sommairement motivé (art. 30 al.</w:t>
      </w:r>
    </w:p>
    <w:p>
      <w:r>
        <w:rPr>
          <w:b/>
        </w:rPr>
        <w:t>E. 1.2</w:t>
      </w:r>
    </w:p>
    <w:p>
      <w:r>
        <w:t>En l’occurrence, déposé en temps utile et auprès de l’autorité compétente par une personne placée en détention administrative, agissant par son défenseur d’office, qui a un intérêt digne de protection à la modification de l’ordonnance querellée, le recours est recevable.</w:t>
      </w:r>
    </w:p>
    <w:p>
      <w:r>
        <w:rPr>
          <w:b/>
        </w:rPr>
        <w:t>E. 2</w:t>
      </w:r>
    </w:p>
    <w:p>
      <w:r>
        <w:t>- 5 -</w:t>
      </w:r>
    </w:p>
    <w:p>
      <w:r>
        <w:rPr>
          <w:b/>
        </w:rPr>
        <w:t>E. 2.1</w:t>
      </w:r>
    </w:p>
    <w:p>
      <w:r>
        <w:t>Dans un premier grief, le recourant invoque que le Tribunal des mesures de contrainte aurait violé son droit d’être entendu, découlant de l’art. 29 al. 2 Cst., en refusant de requérir la production d’un rapport mentionnant toutes ses entrées et sorties du CFA. Cette pièce aurait permis de confirmer qu’il était revenu spontanément au centre le 25 août 2023 et n’aurait ainsi jamais tenté de se soustraire à son renvoi.</w:t>
      </w:r>
    </w:p>
    <w:p>
      <w:r>
        <w:rPr>
          <w:b/>
        </w:rPr>
        <w:t>E. 2.2</w:t>
      </w:r>
    </w:p>
    <w:p>
      <w:r>
        <w:t>Le droit d’être entendu, tel qu’il est garanti par les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ATF 142 III 48 consid. 4.1.1 ; TF 7B_505/2023 du 9 octobre 2023 consid. 3.2).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 ATF140 I 285). Le droit d’être entendu est une garantie constitutionnelle de caractère formel, dont la violation doit entraîner l’annulation de la décision, indépendamment des chances de succès du recours sur le fond (ATF 143 IV 380 consid. 1.4.1). Une violation du droit d’être entendu peut être réparée lorsque la partie lésée à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(ATF 142 II 218 consid. 2.8.1 ; TF 6B_659/2023 du 17 mai 2023 consid. 3.2).</w:t>
      </w:r>
    </w:p>
    <w:p>
      <w:r>
        <w:t>- 6 - La Chambre des recours pénale revoit librement la décision de première instance ; elle établit les faits d'office et peut ordonner à cet effet toutes les mesures d'instruction qu'elle juge utiles (art. 31 al. 1 et 2 LVLEI). Elle peut en particulier tenir compte de faits postérieurs à la décision attaquée (CREP 4 septembre 2023/698).</w:t>
      </w:r>
    </w:p>
    <w:p>
      <w:r>
        <w:rPr>
          <w:b/>
        </w:rPr>
        <w:t>E. 2.3</w:t>
      </w:r>
    </w:p>
    <w:p>
      <w:r>
        <w:t>En l’espèce, le recourant a produit lui-même la pièce dont le Tribunal des mesures de contrainte avait refusé de requérir la production. La Chambre de céans dispose d’un plein pouvoir d’examen lui permettant de prendre cette pièce en considération et de réparer l’éventuelle violation du droit d’être entendu du recourant sans dommage pour ce dernier. Le grief doit ainsi être rejeté.</w:t>
      </w:r>
    </w:p>
    <w:p>
      <w:r>
        <w:rPr>
          <w:b/>
        </w:rPr>
        <w:t>E. 3</w:t>
      </w:r>
    </w:p>
    <w:p>
      <w:r>
        <w:t>Au vu de ce qui précède, le recours doit être admis, l’ordonnance entreprise annulée et le recourant immédiatement remis en liberté. L’indemnité allouée à Me Lionel Ducret pour la procédure de recours sera fixée à 630 fr., correspondant à 3 heures et 30 minutes d’activité nécessaire d’avocat au tarif horaire de 180 fr. (cf. art. 2 al. 1 let. a et 3 al. 2 RAJ [Règlement sur l'assistance judiciaire en matière civile du 7 décembre 2010 ; BLV 211.02.3], applicables par renvoi de l’art. 18 al. 5 LPA-VD), auxquels il convient d’ajouter des débours forfaitaires de 2 % (cf.</w:t>
      </w:r>
    </w:p>
    <w:p>
      <w:r>
        <w:t>- 9 - art. 3bis al. 1 RAJ), par 12 fr. 60, et la TVA sur le tout, par 49 fr. 50, de sorte que l’indemnité d’office sera arrêtée au total à 693 fr. en chiffres arrondis. Elle sera laissée à la charge de l'Etat. L’arrêt est rendu sans frais (art. 50 LPA-VD applicable par renvoi de l’art. 31 al. 6 LVLEI ; CREP 5 septembre 2023/707). Par ces motifs, la Chambre des recours pénale prononce : I. Le recours est admis II. L’ordonnance du 23 octobre 2023 du Tribunal des mesures de contrainte est annulée et A.________ est immédiatement remis en liberté. III. L’indemnité allouée à Me Lionel Ducret, conseil d’office de A.________, est arrêtée à 693 fr. (six cent nonante-trois francs). IV. L’arrêt, rendu sans frais, est exécutoire. La présidente : Le greffier : Du Le présent arrêt, dont la rédaction a été approuvée à huis clos, est notifié, par l'envoi d'une copie complète, à : - Me Lionel Ducret (pour A.________) (et par efax), - Service de la population, secteur départs (et par efax),</w:t>
      </w:r>
    </w:p>
    <w:p>
      <w:r>
        <w:t>- 10 - et communiqué à : - Mme la Présidente du Tribunal des mesures de contrainte (et par efax), - Etablissement administratif de Frambois (et par efax),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Le greffier :</w:t>
      </w:r>
    </w:p>
    <w:p>
      <w:r>
        <w:rPr>
          <w:b/>
        </w:rPr>
        <w:t>E. 3.1</w:t>
      </w:r>
    </w:p>
    <w:p>
      <w:r>
        <w:t>Dans un second grief, le recourant invoque que les conditions d’application de l’art. 76a LEI ne sont pas remplies, dans la mesure où son retour spontané et volontaire au CFA le 25 août 2023, alors que la décision du 18 août 2023 du SEM ne lui avait pas encore été notifiée, et son séjour sans discontinuer au CFA depuis lors démontre qu’il n’avait pas l’intention de se soustraire à son renvoi. Il ajoute que la mise en détention administrative viole le principe de proportionnalité, puisqu’il lui aurait été possible de rester au CFA jusqu’à ce qu’un vol ou tout autre moyen de transport lui soit proposé pour quitter la Suisse.</w:t>
      </w:r>
    </w:p>
    <w:p>
      <w:r>
        <w:rPr>
          <w:b/>
        </w:rPr>
        <w:t>E. 3.2</w:t>
      </w:r>
    </w:p>
    <w:p>
      <w:r>
        <w:t>La détention administrative porte une atteinte grave à la liberté personnelle et ne peut être ordonnée que dans le respect de l'art. 5 § 1 let. f CEDH (Convention de sauvegarde des droits de l’homme et des libertés fondamentales du 4 novembre 1950 ; RS 0.101) et de l'art. 31 Cst. (Constitution fédérale de la Confédération suisse du 18 avril 1999 ; RS 101), ce qui suppose en premier lieu qu'elle repose sur une base légale. Le respect de la légalité implique ainsi que la mise en détention</w:t>
      </w:r>
    </w:p>
    <w:p>
      <w:r>
        <w:t>- 7 - administrative ne soit prononcée que si les motifs prévus dans la loi sont concrètement réalisés (ATF 140 II 1 consid. 5.1). La détention dans le cadre de la procédure Dublin est régie par l’art. 76a LEI. Selon l’alinéa 1er de cette disposition, l’autorité compétente peut, afin d’assurer le renvoi de l’étranger dans l’Etat Dublin responsable, mettre celui-ci en détention sur la base d’une évaluation individuelle si des éléments concrets font craindre que l’étranger concerné n’entende se soustraire au renvoi (let. a), si la détention est proportionnée (let. b) et si d’autres mesures moins coercitives ne peuvent être appliquées de manière efficace (let. c). L’art. 76a al. 2 LEI décrit les éléments concrets au sens de l’art. 76a al. 1 let. a LEI permettant de fonder la crainte que l’étranger entende se soustraire à l’exécution de son renvoi, notamment le fait que, dans le cadre de la procédure d’asile ou de renvoi, l’étranger n’observe pas les instructions des autorités, notamment en refusant de décliner son identité, ou ne donne pas suite à une convocation à réitérées reprises et sans raison valable (let. a) et que son comportement en Suisse ou à l’étranger permette de conclure qu’il refuse d’obtempérer aux instructions des autorités (let. b). Selon la jurisprudence rendue en application de l’art. 76 al. 1 let. b ch. 3 et 4 LEI, dont la teneur est similaire à celle de l’art. 76a al. 2 let. a et b LEI, et qui est dès lors transposable au cas d’espèce, les comportements permettant de conclure à l'existence d'un risque de fuite ou de disparition sont réalisés lorsque l'étranger a déjà disparu une première fois dans la clandestinité (ATF 140 II 1 précité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2C_129/2023 du 30 mars 2023 consid. 7.1). Il faut qu'il existe des éléments concrets en ce sens (ATF 142 I 135 consid. 4.1 ; TF 2C_129/2023 précité).</w:t>
      </w:r>
    </w:p>
    <w:p>
      <w:r>
        <w:t>- 8 - Conformément à l’art. 76a al. 3 let. c LEI, à compter du moment où la détention a été ordonnée, l’étranger peut être placé ou maintenu en détention pour une durée maximale de six semaines pour assurer l’exécution du renvoi entre la notification de la décision de renvoi ou d’expulsion et le transfert de l’étranger dans l’Etat Dublin responsable.</w:t>
      </w:r>
    </w:p>
    <w:p>
      <w:r>
        <w:rPr>
          <w:b/>
        </w:rPr>
        <w:t>E. 3.3</w:t>
      </w:r>
    </w:p>
    <w:p>
      <w:r>
        <w:t>En l’espèce, aucun élément du dossier ne permet de conclure que le recourant aurait tenté de se soustraire à son renvoi. En particulier, comme l’atteste la pièce produite par le recourant, s’il a effectivement quitté le CFA le 17 août 2023, il y est spontanément retourné le 25 août 2023 et y est demeuré jusqu’à son arrestation (p. 9/3). Le signalement au RIPOL, survenu le 12 septembre 2023, alors que le recourant était de retour au CFA depuis plus de deux semaines, était ainsi totalement injustifié. Il apparaît en outre que l’absence du recourant n’avait aucun lien avec la décision de non-entrée en matière rendue par le SEM, celle-ci étant datée du 18 août 2023, soit un jour après que l’intéressé soit revenu au CFA. A.________ ne conteste par ailleurs pas devoir quitter la Suisse et affirme être prêt à le faire aussitôt qu’un transport pourra être organisé. Le fait qu’il n’ait pas spontanément quitté le territoire suisse dans le délai qui lui avait été imposé par le SEM ne suffit pas pour retenir l’existence d’un risque de fuite ou une absence de collaboration du recourant, dans la mesure où celui-ci est resté à disposition des autorités au CFA. Le grief doit ainsi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