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DA23.009928 vom 9. Juni 2023</w:t>
      </w:r>
    </w:p>
    <w:p>
      <w:r>
        <w:t>VD Tribunal cantonal, 2023-06-09, FR</w:t>
      </w:r>
    </w:p>
    <w:p>
      <w:r>
        <w:rPr>
          <w:b/>
        </w:rPr>
        <w:t xml:space="preserve">Quelle: </w:t>
      </w:r>
      <w:r>
        <w:t>https://mcp.opencaselaw.ch/entscheid/vd_gerichte_DA23.009928</w:t>
      </w:r>
    </w:p>
    <w:p>
      <w:r>
        <w:t>FR: VD_GERICHTE DA23.009928 du 9 juin 2023</w:t>
      </w:r>
    </w:p>
    <w:p>
      <w:r>
        <w:t>IT: VD_GERICHTE DA23.009928 del 9 giugno 2023</w:t>
      </w:r>
    </w:p>
    <w:p>
      <w:pPr>
        <w:pStyle w:val="Heading2"/>
      </w:pPr>
      <w:r>
        <w:t>Erwägungen</w:t>
      </w:r>
    </w:p>
    <w:p>
      <w:r>
        <w:rPr>
          <w:b/>
        </w:rPr>
        <w:t>E. 1.1</w:t>
      </w:r>
    </w:p>
    <w:p>
      <w:r>
        <w:t>Le Tribunal des mesures de contrainte statue sur la légalité et l’adéquation de la détention administrative, conformément aux art. 80 al.</w:t>
      </w:r>
    </w:p>
    <w:p>
      <w:r>
        <w:rPr>
          <w:b/>
        </w:rPr>
        <w:t>E. 1.2</w:t>
      </w:r>
    </w:p>
    <w:p>
      <w:r>
        <w:t>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9 août 2021/688 ; CREP 9 novembre 2020/844). Le Tribunal statue à bref délai (art. 31 al. 4 LVLEI). Elle applique au surplus LPA-VD (art. 31 al. 6 LVLEI).</w:t>
      </w:r>
    </w:p>
    <w:p>
      <w:r>
        <w:rPr>
          <w:b/>
        </w:rPr>
        <w:t>E. 2</w:t>
      </w:r>
    </w:p>
    <w:p>
      <w:r>
        <w:t>Le recourant conteste la légalité et l’adéquation de sa détention administrative.</w:t>
      </w:r>
    </w:p>
    <w:p>
      <w:r>
        <w:t>- 8 -</w:t>
      </w:r>
    </w:p>
    <w:p>
      <w:r>
        <w:rPr>
          <w:b/>
        </w:rPr>
        <w:t>E. 2.1.1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w:t>
      </w:r>
    </w:p>
    <w:p>
      <w:r>
        <w:t>- 9 -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w:t>
      </w:r>
    </w:p>
    <w:p>
      <w:r>
        <w:rPr>
          <w:b/>
        </w:rPr>
        <w:t>E. 2.1.2</w:t>
      </w:r>
    </w:p>
    <w:p>
      <w:r>
        <w:t>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w:t>
      </w:r>
    </w:p>
    <w:p>
      <w:r>
        <w:rPr>
          <w:b/>
        </w:rPr>
        <w:t>E. 2.1.3</w:t>
      </w:r>
    </w:p>
    <w:p>
      <w:r>
        <w:t>Eu égard à la durée de la détention, l’art. 79 al. 1 LEI dispose que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w:t>
      </w:r>
    </w:p>
    <w:p>
      <w:r>
        <w:t>- 10 - La détention administrative doit, conformément à l’art. 36 al.</w:t>
      </w:r>
    </w:p>
    <w:p>
      <w:r>
        <w:rPr>
          <w:b/>
        </w:rPr>
        <w:t>E. 2.1.4</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(TF 2C_560/2021 du 3 août 2021 consid. 7.1 ; TF 2C_951/2015 précité consid. 3.1), ou qu’un Etat refuse de reprendre certains de ses ressortissants (ATF 130 II 56 consid. 4.1.3 ; ATF 125 Il 217 consid. 2 ; TF 2C_468/2022 du 7 juillet 2022 consid. 4.1 ; Göksu, in : Caroni/Gächter/ 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w:t>
      </w:r>
    </w:p>
    <w:p>
      <w:r>
        <w:t>- 11 -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 ; TF 2C_468/2022 précité).</w:t>
      </w:r>
    </w:p>
    <w:p>
      <w:r>
        <w:rPr>
          <w:b/>
        </w:rPr>
        <w:t>E. 2.2.1</w:t>
      </w:r>
    </w:p>
    <w:p>
      <w:r>
        <w:t>Le recourant affirme tout d’abord qu’il se serait toujours tenu à disposition des autorités en vue de son renvoi en Algérie, durant l’intégralité de son séjour de 23 ans en Suisse, que son lieu de résidence aurait été constamment connu des autorités, qu’il n’aurait jamais passé dans la clandestinité et que les autorités auraient pu exécuter son renvoi en tout temps. A l’instar du Tribunal des mesures de contrainte, il convient de retenir qu’en cas de libération de P.________, la mise en œuvre de son renvoi ne pourrait pas être garantie. En effet, il existe des éléments concrets faisant craindre qu’il entende s’y soustraire. Le recourant, qui est divorcé, sans enfant et sans famille en Suisse, a persisté à séjourner illégalement en Suisse malgré les décisions judiciaires et administratives rendues à son encontre. Les deux demandes d’asile déposées en Suisse en 1999 et en 2001 par le recourant ont été rejetées et son renvoi du territoire suisse a été ordonné en 1999 et en 2002. En 2009, un délai d’un mois lui a été imparti pour quitter le territoire suisse. Le recourant a disparu dès la fin de sa détention pénale le 1er juillet 2012 et a été signalé au RIPOL. Le recourant, qui ne dispose pas de statut de séjour en Suisse et qui a clairement manifesté son refus de retourner en Algérie où il n’a plus de famille excepté un frère, a réitéré, dans son recours, sa volonté de</w:t>
      </w:r>
    </w:p>
    <w:p>
      <w:r>
        <w:t>- 12 - rester en Suisse pour s’y faire soigner. Force est donc de constater que le recourant a, par le comportement qu’il a adopté dès son arrivée en Suisse en 1999, démontré qu’il ne souhaitait pas retourner vivre en Algérie et qu’il entendait se soustraire à son renvoi. Il existe ainsi un risque de fuite patent, de sorte que le SPOP se doit de tout mettre en œuvre pour assurer le renvoi de P.________ dans son pays d’origine et empêcher qu’il ne tente une nouvelle fois de disparaître dans la clandestinité. Partant, les conditions légales pour sa mise en détention administrative sur la base de l’art. 76 al. 1 let. b ch. 3 et 4 LEI sont réunies. Les motifs énumérés à l’art. 76 al. 1 let. b LEI étant alternatifs et la détention en vue du renvoi étant justifiée au regard de l’art. 76 al. 1 let. b ch. 3 et 4 LEI pour les motifs précités, il n’est pas nécessaire d’examiner si celle- ci est justifiée pour d’autres motifs.</w:t>
      </w:r>
    </w:p>
    <w:p>
      <w:r>
        <w:rPr>
          <w:b/>
        </w:rPr>
        <w:t>E. 2.2.2</w:t>
      </w:r>
    </w:p>
    <w:p>
      <w:r>
        <w:t>Le recourant soutient que l’exécution de son renvoi en Algérie serait impossible, l’Algérie ne l’ayant pas reconnu comme étant l’un de ses ressortissants et aucun laissez-passer n’ayant été délivré par les autorités algériennes. Il fait également valoir que son état de santé devrait faire échec à son renvoi et à son maintien en détention. En l’espèce, les conditions exceptionnelles posées par l’art. 80 al. 6 let. a LEI ne sont manifestement pas remplies. En effet, il ressort de l’examen du dossier que P.________ a été reconnu par les autorités algériennes en 2011 déjà et que si les autorités algériennes ont effectivement refusé de délivrer un laissez-passer en faveur de P.________ en 2019, cela n’est plus le cas aujourd’hui puisque les autorités algériennes ont déclaré être disposées à en délivrer un dès que les modalités de renvoi de P.________ seraient connues. Au reste, le dossier ne contient aucun élément établissant que l’exécution du renvoi du recourant vers Algérie serait impossible pour des raisons matérielles ou juridiques. Les allégations faites par le recourant s’agissant de l’absence de sa reconnaissance par les autorités algériennes et de l’absence de laissez- passer ne sont donc pas vérifiées et n’engagent que lui. Il pourra en outre être procédé à l’expulsion du recourant vers l’Algérie dans un délai</w:t>
      </w:r>
    </w:p>
    <w:p>
      <w:r>
        <w:t>- 13 - raisonnable, la préparation de son renvoi, qui devrait intervenir d’ici la fin du mois de juin, étant en cours. Quant aux difficultés de santé importantes invoquées par P.________, il peut certes être donné acte au recourant qu’il a subi un AVC et deux opérations coronariennes en 2019, qu’il bénéficie toujours d’un suivi au CHUV et que son état de santé nécessite la prise quotidienne de plusieurs médicaments. Cependant, le dossier ne contient aucun certificat médical qui attesterait que les problèmes de santé dont souffre le recourant empêcheraient son renvoi en Algérie et que la poursuite de son traitement ne pourrait pas être assurée dans son pays d’origine, comme il le prétend. De toute manière, la jurisprudence exige une atteinte très importante à la santé, mettant en danger sa vie et rendant son renvoi impossible. En l’espèce, le recourant a été soigné et son traitement n’est qu’un traitement de maintien, à défaut de pièces attestant du contraire. Enfin, le principe de proportionnalité est respecté, dès lors que la durée d’un mois de la détention ordonnée s’impose pour permettre à l’autorité de finaliser l’organisation du retour du recourant en Algérie. On ne discerne par ailleurs aucune autre mesure moins coercitive que la détention susceptible de contenir le risque de fuite ou de disparition retenu. Le recourant ne propose du reste aucune mesure de substitution. Partant, la détention administrative de P.________ est justifiée et proportionnée.</w:t>
      </w:r>
    </w:p>
    <w:p>
      <w:r>
        <w:rPr>
          <w:b/>
        </w:rPr>
        <w:t>E. 3</w:t>
      </w:r>
    </w:p>
    <w:p>
      <w:r>
        <w:t>Il résulte de ce qui précède que le recours interjeté par P.________, manifestement mal fondé, doit être rejeté et l’ordonnance contestée confirmée. S’agissant de l’indemnisation de Me Michel Dupuis, conseil d’office de P.________, il sera retenu, au vu de l’acte déposé et de la nature de la cause, 3 heures d'activité nécessaire d’avocat au tarif horaire de 180 fr. (art. 18 al. 5 LPA-VD ; art. 2 al. 1 let. a et 3 al. 2 RAJ [Règlement sur</w:t>
      </w:r>
    </w:p>
    <w:p>
      <w:r>
        <w:t>- 14 - l'assistance judiciaire en matière civile du 7 décembre 2010 ; BLV 211.02.3]), soit 540 francs. S'y ajoutent 2 % pour les débours forfaitaires (art. 3bis al. 1 RAJ), par 10 fr. 80, et 7,7 % de TVA sur le tout, par 42 fr. 40, de sorte que l'indemnité d'office sera arrêtée à 594 fr. au total en chiffres arrondis. Le recourant sera tenu au remboursement de l’indemnité due à son conseil d’office, mise provisoirement à la charge de l’Etat, dès qu’il sera en mesure de le faire (art. 123 CPC par renvoi de l’art. 18 al. 5 LPA- VD). L’arrêt peut être rendu sans frais (art. 50 LPA-VD applicable par renvoi de l’art. 31 al. 6 LVLEI ; CREP 1er décembre 2022/929 ; CREP 13 décembre 2021/1089). Par ces motifs, la Chambre des recours pénale prononce : I. Le recours est rejeté. II. L’ordonnance du 28 mai 2023 est confirmée. III. L’indemnité allouée à Me Michel Dupuis, conseil d’office de P.________, est arrêtée à 594 fr. (cinq cent nonante-quatre francs). IV. P.________ sera tenu au remboursement de l’indemnité due à son conseil d’office, mise provisoirement à la charge de l’Etat, dès qu’il sera en mesure de le faire. V. L’arrêt, rendu sans frais, est exécutoire. Le vice-président : La greffière :</w:t>
      </w:r>
    </w:p>
    <w:p>
      <w:r>
        <w:t>- 15 - Du Le présent arrêt, dont la rédaction a été approuvée à huis clos, est notifié, par l'envoi d'une copie complète, à : - Me Michel Dupuis, avocat (pour P.________), - Service de la population, et communiqué à : - Mme la Présidente du Tribunal des mesures de contrainte, - Centre de détention administrative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