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DA23.005907 vom 12. April 2023</w:t>
      </w:r>
    </w:p>
    <w:p>
      <w:r>
        <w:t>VD Tribunal cantonal, 2023-04-12, FR</w:t>
      </w:r>
    </w:p>
    <w:p>
      <w:r>
        <w:rPr>
          <w:b/>
        </w:rPr>
        <w:t xml:space="preserve">Quelle: </w:t>
      </w:r>
      <w:r>
        <w:t>https://mcp.opencaselaw.ch/entscheid/vd_gerichte_DA23.005907</w:t>
      </w:r>
    </w:p>
    <w:p>
      <w:r>
        <w:t>FR: VD_GERICHTE DA23.005907 du 12 avril 2023</w:t>
      </w:r>
    </w:p>
    <w:p>
      <w:r>
        <w:t>IT: VD_GERICHTE DA23.005907 del 12 aprile 2023</w:t>
      </w:r>
    </w:p>
    <w:p>
      <w:pPr>
        <w:pStyle w:val="Heading2"/>
      </w:pPr>
      <w:r>
        <w:t>Erwägungen</w:t>
      </w:r>
    </w:p>
    <w:p>
      <w:r>
        <w:rPr>
          <w:b/>
        </w:rPr>
        <w:t>E. 3.1</w:t>
      </w:r>
    </w:p>
    <w:p>
      <w:r>
        <w:t>Le recourant invoque une violation des art. 75 et 76 LEI, ainsi que du principe de la proportionnalité. Il prétend d'abord que ce serait à tort que le Tribunal des mesures de contrainte n'a pas tenu compte du fait que la dernière infraction pour laquelle il avait été condamné remontait à août 2022, qu'il ne s'opposait pas à quitter la Suisse et qu'il avait vécu à Viège. Ce serait donc de manière erronée que le Tribunal des mesures de contrainte a retenu qu'il avait disparu dans l'illégalité et qu'il y avait un risque de récidive. Enfin, une assignation à résidence serait suffisante.</w:t>
      </w:r>
    </w:p>
    <w:p>
      <w:r>
        <w:rPr>
          <w:b/>
        </w:rPr>
        <w:t>E. 3.1.2</w:t>
      </w:r>
    </w:p>
    <w:p>
      <w:r>
        <w:t>et 3.5).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précité ; ATF 143 I 147 consid. 3 ; ATF 142 I 135 consid. 4.1).</w:t>
      </w:r>
    </w:p>
    <w:p>
      <w:r>
        <w:rPr>
          <w:b/>
        </w:rPr>
        <w:t>E. 3.2.1</w:t>
      </w:r>
    </w:p>
    <w:p>
      <w:r>
        <w:t>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al. 1 LEI prévoit qu’après notification d’une décision de première instance de renvoi ou d’expulsion au sens de la LEI ou d’une décision de première instance d’expulsion obligatoire au sens des art. 66a ou 66abis CP (Code pénal suisse du 21 décembre 1937 ; RS 311.0) ou 49a</w:t>
      </w:r>
    </w:p>
    <w:p>
      <w:r>
        <w:t>- 6 -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Les motifs énumérés à l’art. 76 al. 1 let. b LEI sont alternatifs (CREP 12 décembre 2022/941 consid. 2.2 ; CREP 12 octobre 2022/751 consid. 2.2).</w:t>
      </w:r>
    </w:p>
    <w:p>
      <w:r>
        <w:rPr>
          <w:b/>
        </w:rPr>
        <w:t>E. 3.2.2</w:t>
      </w:r>
    </w:p>
    <w:p>
      <w:r>
        <w:t>Selon l’art. 75 al. 1 LEI, afin d’assurer l’exécution d’une procédure de renvoi ou d’expulsion ou d’une procédure pénale pouvant</w:t>
      </w:r>
    </w:p>
    <w:p>
      <w:r>
        <w:t>- 7 - entraîner une expulsion obligatoire au sens des art. 66a ou 66abis CP ou 49a ou 49abis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w:t>
      </w:r>
    </w:p>
    <w:p>
      <w:r>
        <w:rPr>
          <w:b/>
        </w:rPr>
        <w:t>E. 3.2.3</w:t>
      </w:r>
    </w:p>
    <w:p>
      <w:r>
        <w:t>L’art. 79 al. 1 LEI prévoit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durée de la détention administrative, envisagée dans son ensemble, doit toujours respecter le principe de la proportionnalité (ATF 145 II 313 précité consid.</w:t>
      </w:r>
    </w:p>
    <w:p>
      <w:r>
        <w:rPr>
          <w:b/>
        </w:rPr>
        <w:t>E. 3.3</w:t>
      </w:r>
    </w:p>
    <w:p>
      <w:r>
        <w:t>En l'espèce, le recourant conteste que les conditions posées par les art. 75 et 76 LEI soient réalisées, mais il n'expose pas précisément en quoi. Au demeurant, ses arguments ne sont pas pertinents. Dès lors qu'il a été condamné pour crime (cf. art. 75 al. 1 let. h ch. 1 et 76 al. 1 let. b LEI), la date de la commission de sa dernière infraction importe peu. Du reste, il omet de relever qu'il fait l'objet de deux nouvelles enquêtes, l'une ouverte depuis le 21 septembre 2022 devant le Ministère public cantonal</w:t>
      </w:r>
    </w:p>
    <w:p>
      <w:r>
        <w:t>- 8 - Strada pour conduite sans autorisation et l'autre ouverte depuis le 29 novembre 2022 devant le Untersuchungsamt de St-Gall pour vol. En outre, c'est à juste titre que le Tribunal des mesures de contrainte a retenu qu'il existait des éléments qui faisaient craindre qu'il se soustraie à son renvoi (cf. art. 75 al. 1 let b ch. 3 et 4 et 76 al. 1 LEI). En effet, après s’être vu refuser l’asile en Suisse et impartir un délai pour quitter la Suisse, le recourant ne s’est pas rendu à l’aéroport le 14 septembre 2022, alors qu’il savait qu’un vol de retour en Géorgie avait été réservé à son intention ; il a ensuite disparu du centre où il avait été assigné, empêchant l’exécution de la perquisition ordonnée par le premier juge, et a fait l'objet d'un signalement au RIPOL ; bien qu'il ait indiqué vouloir quitter la Suisse, il a encore confirmé à l’audience du Tribunal des mesures de contrainte qu’il refusait de rentrer en Géorgie, alors qu'il savait qu'il n'avait pas le droit de résider dans un autre pays. Par ailleurs, les condamnations dont il a fait l’objet démontrent son mépris à l'encontre des décisions tant administratives que judiciaires prises à son encontre. Au vu de ces éléments, il y a tout lieu de craindre que s’il restait libre de ses mouvements, le recourant tente par tous les moyens de se soustraire à la mise en œuvre de la mesure de renvoi prononcée à son encontre. Enfin, pour ces mêmes motifs, aucune mesure moins attentatoire à la liberté personnelle n’apparaît apte à assurer le renvoi du recourant. On ne discerne aucun motif qui relèverait dans le cas d'espèce d'une violation du principe de la proportionnalité. En particulier, n'ayant pas respecté l'assignation à résidence de trois mois qui lui avait été notifiée le 15 septembre 2022, le recourant a démontré qu’il n’était pas capable de se conformer à une telle mesure. Ainsi, une détention administrative est la seule mesure apte à assurer l’exécution du renvoi de l’intéressé dans un pays où il a le droit de séjourner. L'exécution de cette mesure a par ailleurs lieu dans un établissement adéquat. La mise en détention, d'une durée fixée à deux mois, apparaît en définitive comme une mesure proportionnée au cas du recourant. Au demeurant, rien ne permet de penser que les autorités ne respecteront pas leur devoir de diligence dans le cadre de l’organisation du renvoi ; l’exécution du renvoi</w:t>
      </w:r>
    </w:p>
    <w:p>
      <w:r>
        <w:t>- 9 - devrait ainsi avoir lieu dans un délai raisonnable, respectueux de l’art. 79 LEI (cf. TF 2C_381/2016 du 23 mai 2016 consid. 4.4).</w:t>
      </w:r>
    </w:p>
    <w:p>
      <w:r>
        <w:rPr>
          <w:b/>
        </w:rPr>
        <w:t>E. 4.1</w:t>
      </w:r>
    </w:p>
    <w:p>
      <w:r>
        <w:t>Le recourant invoque encore une violation de l'art. 80 al. 6 LEI. Il prétend que le renvoi forcé ne pourrait pas être exécuté. Il aurait indiqué au Tribunal des mesures de contrainte qu'il ne lui était pas possible de retourner en Géorgie, dès lors qu'il y était recherché "en raison de divers problèmes qu'il avait rencontrés là-bas". Il serait exposé non seulement à des violences à son encontre par les personnes qui le recherchent, mais également à une incarcération dans des conditions inhumaines et dégradantes, contraires à l'art. 3 CEDH.</w:t>
      </w:r>
    </w:p>
    <w:p>
      <w:r>
        <w:rPr>
          <w:b/>
        </w:rPr>
        <w:t>E. 4.1.3</w:t>
      </w:r>
    </w:p>
    <w:p>
      <w:r>
        <w:t>et les arrêts cités). Doit être prise en considération la situation au moment où l’arrêt attaqué a été rendu (TF 2C_560/2021 du 3 août 2021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arrêts cités).</w:t>
      </w:r>
    </w:p>
    <w:p>
      <w:r>
        <w:rPr>
          <w:b/>
        </w:rPr>
        <w:t>E. 4.2</w:t>
      </w:r>
    </w:p>
    <w:p>
      <w:r>
        <w:t>; TF 2C_213/2022 du 30 mars 2022 consid. 4.2 et les arrêts cités). Tel est par exemple le cas d’un détenu présentant des atteintes à sa santé si importantes, que celles-ci rendent impossible son transport pendant une longue période (cf. TF 2C_560/2021 du 3 août 2021 consid. 7.1 ; TF 2C_951/2015 précité consid. 3.1), ou qu’un Etat refuse de reprendre certains de ses ressortissants (ATF 125 Il 217 consid. 2 ; Göksu, in : Caroni/Gächter/Thurnherr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w:t>
      </w:r>
    </w:p>
    <w:p>
      <w:r>
        <w:t>- 10 - 5.1).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précité consid.</w:t>
      </w:r>
    </w:p>
    <w:p>
      <w:r>
        <w:rPr>
          <w:b/>
        </w:rPr>
        <w:t>E. 4.2.1</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w:t>
      </w:r>
    </w:p>
    <w:p>
      <w:r>
        <w:rPr>
          <w:b/>
        </w:rPr>
        <w:t>E. 4.2.2</w:t>
      </w:r>
    </w:p>
    <w:p>
      <w:r>
        <w:t>L'article 3 CEDH prohibe en termes absolus la torture et les peines ou traitements inhumains ou dégradants, quels que soient les circonstances et le comportement de la victime. Par elle-même, une situation générale de violence dans un Etat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(arrêt CourEDH F.H. c. Suède du 20 janvier 2009, Requête no 32621/06, § 102 ; TF 6B_422/2021 du 1er septembre 2021 consid. 4, non publié aux ATF 147 IV 153). Il incombe alors à celui qui invoque la violation de l'art. 3 CEDH d'établir qu'il existe de sérieuses raisons de croire à l'existence de pratiques de mauvais traitements et qu'il appartient bien à un groupe exposé à de telles pratiques (arrêt CourEDH NA. c. Royaume- Uni du 17 juillet 2008, Requête no 25904/07, § 115 s. ; TF 6B_422/2021 précité consid. 4).</w:t>
      </w:r>
    </w:p>
    <w:p>
      <w:r>
        <w:t>- 11 -</w:t>
      </w:r>
    </w:p>
    <w:p>
      <w:r>
        <w:rPr>
          <w:b/>
        </w:rPr>
        <w:t>E. 4.3</w:t>
      </w:r>
    </w:p>
    <w:p>
      <w:r>
        <w:t>En l'espèce, les circonstances factuelles sur lesquelles le recourant se fonde pour prétendre que l'exécution de son renvoi en Géorgie serait matériellement impossible ne reposent sur aucun élément du dossier. En particulier, le recourant ne démontre pas qu'il résulterait de l'exécution de son renvoi en Géorgie un risque réel et concret de traitements prohibés par l'art. 3 CEDH.</w:t>
      </w:r>
    </w:p>
    <w:p>
      <w:r>
        <w:rPr>
          <w:b/>
        </w:rPr>
        <w:t>E. 5</w:t>
      </w:r>
    </w:p>
    <w:p>
      <w:r>
        <w:t>Il résulte de ce qui précède que le recours interjeté par A.________, manifestement mal fondé, doit être rejeté sans échange d'écritures (art. 390 al. 2 CPP) et l’ordonnance entreprise confirmée. S’agissant de l’indemnisation de Me Marine Botfield, conseil d’office du recourant, il sera retenu, au vu de l’acte déposé et de la nature de la cause, 3 heures d'activité nécessaire d’avocat au tarif horaire de 180 fr. (art. 18 al. 5 LPA-VD ; art. 2 al. 1 let. a et 3 al. 2 RAJ [Règlement sur l'assistance judiciaire en matière civile du 7 décembre 2010 ; BLV 211.02.3]), soit 540 francs. S'y ajoutent 2 % pour les débours forfaitaires (art. 3bis al. 1 RAJ), par 10 fr. 80, et 7,7 % de TVA sur le tout, par 42 fr. 40, de sorte que l'indemnité d'office sera arrêtée à 594 fr. au total en chiffres arrondis. A.________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 CREP 1er décembre 2022/929 ; CREP 13 décembre 2021/1089).</w:t>
      </w:r>
    </w:p>
    <w:p>
      <w:r>
        <w:t>- 12 - Par ces motifs, la Chambre des recours pénale prononce : I. Le recours est rejeté. II. L'ordonnance du 26 mars 2023 est confirmée. III. L’indemnité allouée au conseil d’office d'A.________ est fixée à 594 fr. (cinq cent nonante-quatre francs). IV. A.________ sera tenu au remboursement de l’indemnité due à son conseil d’office, mise provisoirement à la charge de l’Etat, dès qu’il sera en mesure de le faire. V. L’arrêt, rendu sans frais judiciaires, est exécutoire. La présidente : La greffière : Du Le présent arrêt, dont la rédaction a été approuvée à huis clos, est notifié, par l'envoi d'une copie complète, à : - Me Marine Botfield, avocate (pour A.________), - Service de la population, et communiqué à : - Mme la Présidente du Tribunal des mesures de contrainte, - Etablissement de Frambois,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