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DA23.004264 vom 22. März 2023</w:t>
      </w:r>
    </w:p>
    <w:p>
      <w:r>
        <w:t>VD Tribunal cantonal, 2023-03-22, FR</w:t>
      </w:r>
    </w:p>
    <w:p>
      <w:r>
        <w:rPr>
          <w:b/>
        </w:rPr>
        <w:t xml:space="preserve">Quelle: </w:t>
      </w:r>
      <w:r>
        <w:t>https://mcp.opencaselaw.ch/entscheid/vd_gerichte_DA23.004264</w:t>
      </w:r>
    </w:p>
    <w:p>
      <w:r>
        <w:t>FR: VD_GERICHTE DA23.004264 du 22 mars 2023</w:t>
      </w:r>
    </w:p>
    <w:p>
      <w:r>
        <w:t>IT: VD_GERICHTE DA23.004264 del 22 marzo 2023</w:t>
      </w:r>
    </w:p>
    <w:p>
      <w:pPr>
        <w:pStyle w:val="Heading2"/>
      </w:pPr>
      <w:r>
        <w:t>Erwägungen</w:t>
      </w:r>
    </w:p>
    <w:p>
      <w:r>
        <w:rPr>
          <w:b/>
        </w:rPr>
        <w:t>E. 2</w:t>
      </w:r>
    </w:p>
    <w:p>
      <w:r>
        <w:t>Le recourant soutient que sa détention administrative serait excessive, disproportionnée et contraire au droit.</w:t>
      </w:r>
    </w:p>
    <w:p>
      <w:r>
        <w:rPr>
          <w:b/>
        </w:rPr>
        <w:t>E. 2.1.1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w:t>
      </w:r>
    </w:p>
    <w:p>
      <w:r>
        <w:t>- 8 -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w:t>
      </w:r>
    </w:p>
    <w:p>
      <w:r>
        <w:rPr>
          <w:b/>
        </w:rPr>
        <w:t>E. 2.1.2</w:t>
      </w:r>
    </w:p>
    <w:p>
      <w:r>
        <w:t>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w:t>
      </w:r>
    </w:p>
    <w:p>
      <w:r>
        <w:t>- 9 - pénale ou a été condamnée pour ce motif (let. g) ou si elle a été condamnée pour un crime (let. h).</w:t>
      </w:r>
    </w:p>
    <w:p>
      <w:r>
        <w:rPr>
          <w:b/>
        </w:rPr>
        <w:t>E. 2.1.3</w:t>
      </w:r>
    </w:p>
    <w:p>
      <w:r>
        <w:t>Eu égard à la durée de la détention, l’art. 79 al. 1 LEI dispose que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w:t>
      </w:r>
    </w:p>
    <w:p>
      <w:r>
        <w:rPr>
          <w:b/>
        </w:rPr>
        <w:t>E. 2.1.4</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(TF 2C_560/2021 du 3 août 2021 consid. 7.1 ; TF 2C_951/2015 précité consid. 3.1), ou qu’un Etat refuse de reprendre</w:t>
      </w:r>
    </w:p>
    <w:p>
      <w:r>
        <w:t>- 10 - certains de ses ressortissants (ATF 130 II 56 consid. 4.1.3 ; ATF 125 Il 217 consid. 2 ; TF 2C_468/2022 du 7 juillet 2022 consid. 4.1 ; Göksu, in : Caroni/Gächter/ 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 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 ; TF 2C_468/2022 précité).</w:t>
      </w:r>
    </w:p>
    <w:p>
      <w:r>
        <w:rPr>
          <w:b/>
        </w:rPr>
        <w:t>E. 2.2.1</w:t>
      </w:r>
    </w:p>
    <w:p>
      <w:r>
        <w:t>Tout d’abord, à l’instar du Tribunal des mesures de contrainte, il convient de retenir qu’en cas de libération d’J.________, la mise en œuvre de son expulsion ne pourrait pas être garantie. En effet, il existe des éléments concrets faisant craindre qu’J.________ entende se soustraire à son renvoi. Le recourant, qui ne dispose pas de statut de séjour en Suisse et qui a clairement et fermement manifesté son refus de retourner en Algérie, a réitéré, dans son recours, sa volonté de ne pas retourner en</w:t>
      </w:r>
    </w:p>
    <w:p>
      <w:r>
        <w:t>- 11 - Algérie, prétextant que personne ne pourrait l’y accueillir, et son souhait de quitter la Suisse pour la France. Par ailleurs, il a toujours déclaré qu’il ne collaborerait pas à son refoulement en Algérie, ce qu’il a démontré par son comportement oppositionnel qui est monté en puissance au fur et à mesure de ses embarquements successifs sur les trois vols qui lui avaient été réservés en 2016, 2018 et 2023. Les conditions légales pour sa mise en détention administrative sur la base de l’art. 76 al. 1 let. b ch. 3 et 4 LEI sont ainsi réunies. Le recourant allègue que les condamnations pénales dont il a fait l’objet seraient intervenues pour « des comportements de petite envergure » et qu’il ne serait pas installé dans « une délinquance impressionnante ». A supposer qu’il soutienne que les conditions posées par les art. 75 et 76 LEI ne seraient pas réalisées, il ne saurait être suivi, puisqu’il a été condamné à de multiples reprises pour des crimes (cf. art. 10 al. 2 CP [Code pénal suisse du 21 décembre 1937 ; RS 311.0), savoir à sept reprises pour vol (art. 139 ch. 1 CP) et à deux reprises pour recel (art. 160 ch. 1 CP). Les conditions légales pour sa mise en détention administrative sur la base de l’art. 76 al. 1 let. b ch. 1 LEI, en lien avec l'art. 75 al. 1 let. h LEI, sont par conséquent également réunies pour ce motif.</w:t>
      </w:r>
    </w:p>
    <w:p>
      <w:r>
        <w:rPr>
          <w:b/>
        </w:rPr>
        <w:t>E. 2.2.2</w:t>
      </w:r>
    </w:p>
    <w:p>
      <w:r>
        <w:t>Invoquant, pour seul motif, une violation de l’art. 80 al. 6 let. a LEI, le recourant soutient que l’exécution de son renvoi en Algérie serait impossible. Il allègue que l’exécutabilité du renvoi n’aurait pas été examinée par le Tribunal des mesures de contrainte au regard de la jurisprudence fédérale, que le dossier ne contiendrait pas d’indications concrètes du Secrétariat d’Etat aux migrations sur cette question ni de SwissRepeat. Il prétend que la pertinence de répéter un vol forcé qui n’a pas abouti ne ressortirait pas du dossier, qu’un tel vol ne serait pas apte à produire le résultat escompté et qu’il devrait être remis immédiatement en liberté. Les conditions exceptionnelles posées par l’art. 80 al. 6 LEI ne sont toutefois pas remplies. En effet, le dossier ne contient aucun élément</w:t>
      </w:r>
    </w:p>
    <w:p>
      <w:r>
        <w:t>- 12 - établissant que l’exécution du renvoi forcé du recourant vers Algérie serait impossible pour des raisons matérielles ou juridiques. Les déclarations faites par le recourant lors de son entretien préparatoire à son renvoi en 2016, selon lesquelles le Consul d’Algérie lui aurait indiqué que la Suisse ne pouvait pas le forcer à retourner dans son pays d’origine, ne sont pas vérifiées et n’engagent que lui. Trois vols ont été organisés – en 2016, en 2018 et en 2023 – à destination de l’Algérie, ce qui montre qu’un renvoi forcé peut être exécuté à destination de ce pays. Le Tribunal fédéral a d’ailleurs statué dans plusieurs cas relatifs à des renvois forcés en Algérie et considéré qu’ils étaient possibles au sens de la jurisprudence rendue sur l’art. 80 al. 6 LEI (TF 2C_1178/2016 du 3 janvier 2017 consid. 4 ; TF 2C_1082/2015 du 21 décembre 2015 consid. 3). Le recourant n’essaie pas de démontrer que la situation factuelle ou juridique aurait changé depuis lors. Il pourra en outre être procédé au renvoi du recourant dans un délai raisonnable, puisque le SPOP a mandaté la Brigade Migration Réseaux illicites de la Police cantonale vaudoise le 2 mars 2023 afin qu’elle organise un vol avec accompagnement policier à destination de l’Algérie. Si le recourant a certes fait échec à ses trois précédents renvois forcés par son attitude oppositionnelle, cela ne saurait aboutir à justifier sa remise en liberté. Enfin, le principe de proportionnalité est respecté, dès lors que la durée de quatre mois de la détention ordonnée s’impose pour permettre à l’autorité d’organiser son retour en Algérie. On ne discerne par ailleurs aucune autre mesure moins coercitive que la détention susceptible de contenir le risque de fuite ou de disparition retenu. Le recourant ne propose du reste aucune mesure de substitution. Partant, les griefs du recourant, mal fondés, doivent être rejetés. La détention administrative d’J.________ est justifiée et proportionnée.</w:t>
      </w:r>
    </w:p>
    <w:p>
      <w:r>
        <w:rPr>
          <w:b/>
        </w:rPr>
        <w:t>E. 3</w:t>
      </w:r>
    </w:p>
    <w:p>
      <w:r>
        <w:t>Il résulte de ce qui précède que le recours interjeté par J.________, manifestement mal fondé, doit être rejeté et l’ordonnance</w:t>
      </w:r>
    </w:p>
    <w:p>
      <w:r>
        <w:t>- 13 - entreprise confirmée. S’agissant de l’indemnisation de Me Nader Ghosn, conseil d’office du recourant, il sera retenu, au vu de l’acte déposé et de la nature de la cause, 2 heures d'activité nécessaire d’avocat au tarif horaire de 180 fr. (art. 18 al. 5 LPA-VD ; art. 2 al. 1 let. a et 3 al. 2 RAJ [Règlement sur l'assistance judiciaire en matière civile du 7 décembre 2010 ; BLV 211.02.3]), soit 360 francs. S'y ajoutent 2 % pour les débours forfaitaires (art. 3bis al. 1 RAJ), par 7 fr. 20, et 7,7 % de TVA sur le tout, par 28 fr. 25, de sorte que l'indemnité d'office sera arrêtée à 396 fr. au total en chiffres arrondis. J.________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1er décembre 2022/929 ; CREP 13 décembre 2021/1089). Par ces motifs, la Chambre des recours pénale prononce : I. Le recours est rejeté. II. L’ordonnance du 5 mars 2023 est confirmée. III. L’indemnité allouée à Me Nader Ghosn, conseil d’office d’J.________, est arrêtée à 396 fr. (trois cent nonante-six francs).</w:t>
      </w:r>
    </w:p>
    <w:p>
      <w:r>
        <w:t>- 14 - IV. J.________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à : - Me Nader Ghosn, avocat (pour J.________), - Service de la population, et communiqué à : - Mme la Présidente du Tribunal des mesures de contrainte, - Zentrum für ausländerrechtliche Administrativhaf (ZAA), Flughafengefängnis Zurich,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- 15 -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