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DA21.018452 vom 13. Dezember 2021</w:t>
      </w:r>
    </w:p>
    <w:p>
      <w:r>
        <w:t>VD Tribunal cantonal, 2021-12-13, FR</w:t>
      </w:r>
    </w:p>
    <w:p>
      <w:r>
        <w:rPr>
          <w:b/>
        </w:rPr>
        <w:t xml:space="preserve">Quelle: </w:t>
      </w:r>
      <w:r>
        <w:t>https://mcp.opencaselaw.ch/entscheid/vd_gerichte_DA21.018452</w:t>
      </w:r>
    </w:p>
    <w:p>
      <w:r>
        <w:t>FR: VD_GERICHTE DA21.018452 du 13 décembre 2021</w:t>
      </w:r>
    </w:p>
    <w:p>
      <w:r>
        <w:t>IT: VD_GERICHTE DA21.018452 del 13 dicembre 2021</w:t>
      </w:r>
    </w:p>
    <w:p>
      <w:pPr>
        <w:pStyle w:val="Heading2"/>
      </w:pPr>
      <w:r>
        <w:t>Erwägungen</w:t>
      </w:r>
    </w:p>
    <w:p>
      <w:r>
        <w:rPr>
          <w:b/>
        </w:rPr>
        <w:t>E. 20</w:t>
      </w:r>
    </w:p>
    <w:p>
      <w:r>
        <w:t>août 2013/530).</w:t>
      </w:r>
    </w:p>
    <w:p>
      <w:r>
        <w:t>- 15 - 2.1.2 En l’espèce, c’est à tort que le recourant soutient que son droit d’être entendu a été violé par le renvoi à la motivation de l’ordonnance du 12 août 2021. En effet, comme exposé plus haut (cf. consid. 2.1.1), sur le principe, une motivation par un renvoi à de précédentes décisions est admissible, la jurisprudence rendue en matière de détention provisoire s’appliquant « mutatis mutandis » à la détention administrative. En outre, s’il est vrai que l’ordonnance attaquée est motivée par référence à l’ordonnance du 12 août 2021 et que, pour les faits survenus depuis lors, elle mentionne : 1) que les autorités espagnoles refusent de réadmettre le recourant, 2) que le SPOP poursuit ses démarches en vue d’organiser un renvoi vers le Nigéria, un vol devant être organisé avant la fin de l’année, et 3) que la durée de la procédure a pour cause le fait que O.________ ne collabore pas avec les autorités, ce qui ne fait que retarder son départ de Suisse, cette motivation respecte pleinement les exigences déduites par la jurisprudence de l’art. 29 al. 2 Cst. En effet, les motifs auxquels il est renvoyé, qui figurent dans les ordonnances des 6 et 12 août 2021 sont complets, notamment au sujet des motifs pour lesquels O.________ a été mis en détention administrative, à savoir qu’il a été condamné pour crime et qu’il existait des éléments concrets laissant craindre qu’il entendait se soustraire à son renvoi administratif et à son expulsion judiciaire (cf. art. 75 al. 1 let. c, g et h et 76 al. 1 let. b ch. 1, 3 et 4 LEI). Quant aux faits nouveaux survenus depuis lors, résumés ci-dessus, l’ordonnance attaquée en mentionne trois et en tient compte dans son appréciation. Enfin, s’il est vrai que celle-ci contient une erreur de fait en ce sens que ce n’est pas depuis l’ordonnance du 12 août 2021 que les autorités espagnoles ont refusé la réadmission du recourant, mais depuis cette date que la décision espagnole a été produite au dossier, on ne voit pas en quoi cette inexactitude pourrait avoir une influence sur le sort de la demande de levée de la détention déposée par le recourant, et celui-ci ne le précise pas. Enfin, il est vrai que l’ordonnance traite, de manière trop succincte, des autres arguments invoqués par O.________, notamment ceux ayant trait au bien-fondé de la décision des autorités espagnoles de refus de réadmission. Elle se contente de déclarer que ceux-ci ne sont « pas relevants et ne remettent pas en question l’appréciation faite par le tribunal de céans dans son</w:t>
      </w:r>
    </w:p>
    <w:p>
      <w:r>
        <w:t>- 16 - ordonnance précitée », sans essayer de le démontrer. Dans cette mesure, et uniquement sur ce point précis, il faut admettre que l’ordonnance attaquée souffre d’un défaut de motivation, que la Chambre de céans peut cependant pallier, au vu du caractère complet de son pouvoir d’examen (cf. infra consid. 2.1.1 et 2.2.5 in fine). 2.2 2.2.1 Le recourant invoque en second lieu la violation du principe de la proportionnalité. Il fait valoir qu’il est détenu depuis plus de quatre mois et que, durant ce laps de temps, l’autorité n’a rien entrepris en vue de l’exécution de son renvoi. Il reproche en outre au SPOP de ne pas avoir demandé sa réadmission auprès des autorités espagnoles depuis sa mise en détention administrative en août 2021 et invoque que la décision espagnole refusant sa réadmission en Espagne est fondée sur des faits erronés. Il considère que, dès lors que le SPOP n’aurait pas entrepris les démarches qui rendraient possible son renvoi en Espagne, on ne saurait lui reprocher son refus de collaborer. Enfin, il invoque que le SPOP n’a entrepris aucune démarche en vue de son renvoi au Nigéria. 2.2.2 A teneur de l’art. 76 al. 1 let. b ch. 1 LEI, après notification d’une décision de première instance de renvoi ou d’expulsion au sens de la présente loi ou d’une décision de première instance d’expulsion au sens des art. 66a ou 66a bis CP (Code pénal suisse du 21 décembre 1937 ; RS 311.0), l’autorité compétente peut, afin d’en assurer l’exécution, mettre en détention la personne concernée pour les motifs cités à l’art. 75 al. 1 let. a, b, c, f, g ou h LEI – à savoir notamment lorsqu’elle menace sérieusement d’autres personnes ou met gravement en danger leur vie ou leur intégrité corporelle et fait l’objet d’une poursuite pénale ou a été condamnée pour ce motif (art. 75 al. 1 let. g LEI) ou lorsqu’elle a été condamnée pour crime (art. 75 al. 1 let. h LEI). En vertu de l’art. 76 al. 1 let. b ch. 3 et 4 LEI, l’autorité compétente peut également mettre en détention la personne concernée si des éléments concrets font craindre qu’elle entend se soustraire au renvoi ou à l’expulsion, en particulier parce qu’elle ne se soumet pas à son</w:t>
      </w:r>
    </w:p>
    <w:p>
      <w:r>
        <w:t>- 17 - obligation de collaborer en vertu de l’art. 90 de la présente loi ou de l’art. 8 al. 1 let. a, ou al. 4, LAsi (Loi fédérale sur l’asile du 26 juin 1998 ; RS 142.31) (ch. 3) ou si son comportement permet de conclure qu’elle se refuse à obtempérer aux instructions des autorités (ch. 4). Ces deux chiffres décrivent des comportement permettant de conclure à l’existence d’un risque de fuite ou de disparition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2C_951/2015 du 17 novembre 2015 consid. 2.2). 2.2.3 L’art. 76 al. 4 LEI prévoit que les démarches nécessaires à l’exécution du renvoi ou de l’expulsion doivent être entreprises sans tarder. Il s’agit du principe de la célérité : il faut se demander si la détention prononcée et sa durée demeurent nécessaires et restent dans une mesure proportionnée au but poursuivi (TF 2C_18/2016 du février 2016 consid. 4.2 ; TF 2C_218/2013 du 26 mars 2013 consid. 2.3 ; Chatton/Merz, Code annoté de droit des migrations, vol. II, Berne 2017, n. 30 ad art. 76 LEI). Selon la jurisprudence, le devoir de célérité est violé lorsque, pendant plus de deux mois, aucune démarche n’est plus accomplie en vue de l’exécution du renvoi par les autorités compétente, sans que cette inaction soit en première ligne causée par le comportement des autorités étrangères ou celui du détenu lui-même (ATF 139 I 206 consi. 2.1 et les arrêts cités). Lorsqu’un étranger se trouve en détention provisoire ou exécute une peine de prison, les autorités, qui comptent le maintenir par</w:t>
      </w:r>
    </w:p>
    <w:p>
      <w:r>
        <w:t>- 18 - la suite en détention administrative, doivent en principe entreprendre des démarches en vue du refoulement déjà avant d’ordonner la détention administrative, s’il est clair que l’étranger devra subséquemment quitter le pays (ATF 130 II 488 consid. 4 ; Chatton/Merz, op. et loc. cit.). 2.2.4 L’art. 79 al. 1 LEI dispose que la détention en phase préparatoire et la détention en vue du renvoi ou de l’expulsion visées aux art. 75 à 77 ainsi que la détention pour insoumission visée à l’art. 78 ne peuvent excéder six mois au total. Toutefois, lorsque la personne concernée ne coopère pas avec l’autorité compétente, la durée maximale de la détention peut être prolongée de douze mois au plus (art. 79 al. 2 let. a LEI), pour atteindre un maximum de dix-huit mois. La durée de la détention administrative, envisagée dans son ensemble, doit toujours respecter le principe de la proportionnalité (ATF 145 II 313 consid. 3.1.2 et 3.5).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consid. 3.1.2 et 3.5 ; ATF 143 I 147 consid. 3 ; ATF 142 I 135 consid. 4.1). Le maintien en détention en vue du renvoi ou de l’expulsion est disproportionné et donc illicite s’il y a des raisons sérieuses de penser que l’exécution ne puisse pas avoir lieu dans un délai raisonnable (TF 2C_1182/2014 du 20 janvier 2015 consid. 3.3.1 ; ATF 130 II 56 consid. 4.1.3 et les références citées ; TF 2C_637/2015 du 16 octobre 2015 consid. 7.1 et les références citées, rendu sous l’égide de l’ancienne LEtr mais toujours actuel). 2.2.5 En l’espèce, le recourant ne conteste pas qu’il remplit les motifs de détention administrative prévus à l’art. 76 al. 1 let. b ch. 1 en lien avec l’art. 75 al. 1 let. h LEI, d’une part, et à l’art. 76 al. 1 let. b ch. 3 et 4 LEI, d’autre part, retenus par le Tribunal des mesures de contrainte</w:t>
      </w:r>
    </w:p>
    <w:p>
      <w:r>
        <w:t>- 19 - pour justifier sa mise en détention administrative afin d’assurer l’exécution non seulement de son renvoi mais aussi de son expulsion judiciaire vers le Nigéria. A raison, dès lors qu’il a été condamné pour crime à une peine privative de liberté de 18 mois notamment pour infraction grave à la LStup, et qu’il existe des éléments concrets faisant craindre qu’il entende se soustraire au renvoi et à l’expulsion judiciaire, et qu’il se refuse d’obtempérer aux instructions des autorités, notamment du fait qu’il a été renvoyé de Suisse à quatre reprises, qu’il y est revenu en dépit d’une interdiction d’entrée, qu’il a refusé de se soumettre à un test PCR et, ainsi, n’a pas embarqué sur le vol qui avait été réservé à son intention à destination de son pays d’origine, et qu’il a déclaré lors de son audition qu’il refuserait de collaborer à un renvoi ou à une expulsion vers le Nigéria. Seul doit donc être examiné le grief du recourant portant sur la violation du principe de la proportionnalité. Il ressort de l’ordonnance attaquée que, dès avant la fin de l’exécution de la peine privative de liberté de 18 mois à laquelle le recourant avait été condamné par jugement du 30 juin 2020, les autorités ont entrepris avec diligence des démarches en vue de l’exécution du renvoi ou de l’expulsion judiciaire. Ainsi, le 31 juillet 2020, le SPOP a adressé au SEM une demande de réadmission pour l’Espagne. Puis, constatant que, par décision du 4 août 2020 devenue définitive et exécutoire, les autorités espagnoles compétentes avaient refusé de réadmettre l’intéressé, le SPOP a, le 6 août 2020, fixé à celui-ci un délai de départ dès sa sortie de prison, en le rendant attentif au fait qu’il pourrait faire l’objet de mesures de contrainte à sa sortie et qu’il devait faire le nécessaire pour se procurer des documents de voyage valables, de manière à permettre l’organisation de son départ de Suisse. Puis, après qu’en mars 2021 l’ambassade du Nigéria eut reconnu le recourant comme l’un de ses ressortissants, le SPOP a sollicité de SwissREPAT l’organisation d’un vol pour le Nigéria, lequel a été confirmé le 18 juin 2021 pour le 7 août 2021. L’exécution de la peine privative de liberté s’est terminée le 5 août 2021. Le 6 août 2021, le recourant a refusé de se soumettre au test</w:t>
      </w:r>
    </w:p>
    <w:p>
      <w:r>
        <w:t>- 20 - PCR nécessaire à son embarquement dans le vol qu’il devait prendre le lendemain. De ce point de vue et jusqu’à cette date, on ne discerne aucun manquement de l’autorité au principe de célérité. En outre, si le recourant a dû être maintenu en détention administrative au-delà du 7 août 2021, date à laquelle il était prévu qu’il prenne ledit vol, c’est en raison de son refus de collaborer. Pour la période subséquente, il ressort de l’ordonnance et du dossier que, le 10 août 2021, une demande de soutien en vue du renvoi de l’intéressé a été adressée au SEM. Dans les déterminations qu’il a adressées le 25 octobre 2021 au Tribunal des mesures de contrainte, le SPOP a indiqué que les démarches entreprises en vue de l’exécution du renvoi se poursuivaient sans discontinuer, et qu’un vol à destination de Lagos, au Nigéria, serait organisé d’ici à la fin de l’année 2021. Dans ses déterminations à l’attention de la Cour de céans, du 24 novembre 2021, le SPOP a derechef déclaré que de telles démarches se poursuivaient sans discontinuer, et qu’un vol à destination de Lagos, au Nigéria, était prévu à très brève échéance. A la demande de la Cour de céans, le SPOP a précisé dans un formulaire-type que « La réquisition pour l’organisation du vol spécial a été effectuée le 19.11.21 ». Hormis les assurances non documentées données dans ces courriers des 25 octobre et 24 novembre 2021, la Cour de céans ne dispose pas d’autres éléments émanant du SPOP permettant de se convaincre que des démarches ont été entreprises – par le SEM ou le SPOP – entre le 10 août et le 19 novembre 2021 en vue de l’exécution du renvoi ou de l’expulsion judiciaire de l’intéressé au Nigéria. Interpellé sur ce point, le SPOP a informé la Cour de céans, par courriel du 10 décembre 2021, que le recourant avait quitté la Suisse le 9 décembre 2021, mais n’a pas exposé les démarches qui avaient été entreprises. Une telle durée de trois mois, si elle a effectivement été inutilisée – ce qui peut rester indécis –, contreviendrait, pour un mois environ, au principe de célérité posé à l’art. 79 al. 4 LEI, étant précisé que s’il est vrai que le recourant a refusé de se soumettre à un test PCR le 6</w:t>
      </w:r>
    </w:p>
    <w:p>
      <w:r>
        <w:t>- 21 - août 2021, ce fait n’a pas pu avoir d’incidence sur la durée de la période de trois mois en cause, celle-ci étant subséquente. L’éventuelle violation du principe de célérité ne saurait, toutefois, signifier que le principe de proportionnalité a été violé. En effet, il ressort de l’ordonnance que, reconnu par le Nigéria comme ressortissant de ce pays, le recourant ne disposait pas d’un passeport de son pays ni titre de séjour lui permettant de séjourner en Suisse ou en Espagne, pays dans lequel il souhaitait retourner, refusant pour ce motif d’être renvoyé ou expulsé au Nigéria. Sa détention administrative faisait suite à neuf condamnations pénales depuis 2013, dont la dernière pour un crime contre la LStup, et au prononcé de son expulsion de Suisse pour une durée de dix ans. Le recourant représentait ainsi une menace pour la sécurité, de sorte qu’il existait un intérêt public évident à ce que les autorités suisses puissent s’assurer que son renvoi et son expulsion de Suisse seraient bien exécutés. Dès lors que le recourant, originaire du Nigéria, affirmait qu’il ne voulait pas retourner dans son pays, qu’il n’avait fait aucune démarche pour obtenir des documents d’identité mais qu’il avait été reconnu par ce pays comme l’un de ses ressortissants, il n’était pas disproportionné de le maintenir en détention le temps qu’un nouveau vol soit organisé. S’il est possible que l’organisation d’un vol à destination du Nigéria ait pu prendre quelque retard, il n’apparaissait pas, à la date de la décision, qu’il ne pouvait pas avoir lieu avant la fin de l’année, ou à bref délai, comme indiqué par le SPOP dans ses déterminations des 25 octobre et 24 novembre 2021. Du reste, un tel vol a été organisé pour le 9 décembre 2021. Quant à un renvoi en Espagne, il était exclu, ce pays ne s’estimant pas être l’Etat Dublin responsable, selon une décision définitive et exécutoire acceptée par la Suisse, et qu’il n’appartient pas à la Cour de céans de revoir ou de remettre en cause. De toute manière, l’argument du recourant à cet égard n’aurait pas été de nature à justifier une libération, dès lors qu’il n’avait aucun permis de séjour dans ce pays et qu’il était dépourvu de papiers d’identité valables qui lui permettraient d’entrer sur le territoire espagnol. Enfin, le recourant perd de vue qu’il ne devait pas</w:t>
      </w:r>
    </w:p>
    <w:p>
      <w:r>
        <w:t>- 22 - seulement être renvoyé de Suisse en vertu du droit d’asile, mais qu’il devait également être expulsé en vertu du droit pénal. Or, l’exécution d’une expulsion pénale prime l’exécution d’une décision de renvoi prononcée dans le cadre d’une procédure d’asile (cf. art. 26g al. 1 OERE [ordonnance sur l’exécution du renvoi et de l’expulsion d’étrangers du 11 août 1999 ; RS 142.281]). C’est dire que, indépendamment de la question de savoir si l’Espagne pourrait être l’Etat Dublin responsable du recourant – ce qui est démenti par la décision que ce pays a rendue le 4 août 2020, devenue définitive et exécutoire –, la Suisse était en droit d’exécuter l’expulsion pénale du recourant vers son pays d’origine. Dans ce contexte, on ne voit pas que la détention du recourant ait été contraire au principe de proportionnalité, mais au contraire qu’elle a été adaptée et nécessaire, et qu’elle est demeurée dans un rapport raisonnable avec le but visé. Au surplus, la durée de la détention a été inférieure aux durées prévues par l’art. 79 LEI. Mal fondé, l’argument du recourant tiré de la violation du principe de la proportionnalité doit être rejeté. 3. Il résulte de ce qui précède que le recours doit être rejeté dans la mesure où il a encore un objet et l’ordonnance attaquée confirmée. S’agissant de la requête du recourant tendant à l’octroi de l’assistance judiciaire pour la procédure de recours, il y a lieu de relever à cet égard que la désignation du 12 août 2021 de Me Charlotte Palazzo en qualité de conseil d’office de O.________ vaut également pour la procédure de recours (CREP 25 juillet 2013/454 et les références citées). Me Charlotte Palazzo a produit une liste de ses opérations, estimant avoir consacré cinq heures et trente-sept minutes à la cause. Au vu des moyens invoqués et de la nature de la cause, cette durée apparaît toutefois trop élevée et il convient de la réduire à quatre heures, laps de temps suffisant pour une activité raisonnable d’avocat. L'indemnité allouée au conseil d'office du recourant sera donc fixée à 790 fr. 95, montant arrondi à 791 fr., au tarif horaire de 180 fr., par 720 fr., plus des</w:t>
      </w:r>
    </w:p>
    <w:p>
      <w:r>
        <w:t>- 23 - débours forfaitaires à concurrence de 2 %, par 14 fr. 40 (art. 2 al. 1 let. a et 3bis al. 1 RAJ [Règlement sur l'assistance judiciaire en matière civile du 7 décembre 2010 ; BLV 211.02.3], applicable par analogie par renvoi de l’art. 26b TFIP [Tarif des frais de procédure et indemnités en matière pénale du 28 septembre 2010 ; BLV 312.03.1]), et la TVA sur le tout au taux de 7,7 %, par 56 fr. 55. Elle sera laissée à la charge de l’Etat. L’arrêt sera rendu sans frais judiciaires (art. 50 LPA-VD; CREP 14 novembre 2017/775 consid. 3). Par ces motifs, la Chambre des recours pénale prononce : I. Le recours est rejeté dans la mesure où il a encore un objet. II. L’ordonnance du 3 novembre 2021 est confirmée. III. L’indemnité allouée à Me Charlotte Palazzo conseil d’office de O.________, est fixée à 791 fr. (sept cent nonante et un francs), à la charge de l’Etat. IV. L’arrêt, rendu sans frais, est exécutoire. Le président : La greffière : Du Le présent arrêt, dont la rédaction a été approuvée à huis clos, est notifié, par l'envoi d'une copie complète, à : - Me Charlotte Palazzo, avocate (pour O.________), - Service de la population, Secteur départs, et communiqué à : - Mme la Présidente du Tribunal des mesures de contrainte, - Etablissement de Frambois,</w:t>
      </w:r>
    </w:p>
    <w:p>
      <w:r>
        <w:t>- 24 -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