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D523.010142 vom 18. Juli 2023</w:t>
      </w:r>
    </w:p>
    <w:p>
      <w:r>
        <w:t>VD Tribunal cantonal, 2023-07-18, FR</w:t>
      </w:r>
    </w:p>
    <w:p>
      <w:r>
        <w:rPr>
          <w:b/>
        </w:rPr>
        <w:t xml:space="preserve">Quelle: </w:t>
      </w:r>
      <w:r>
        <w:t>https://mcp.opencaselaw.ch/entscheid/vd_gerichte_D523.010142</w:t>
      </w:r>
    </w:p>
    <w:p>
      <w:r>
        <w:t>FR: VD_GERICHTE D523.010142 du 18 juillet 2023</w:t>
      </w:r>
    </w:p>
    <w:p>
      <w:r>
        <w:t>IT: VD_GERICHTE D523.010142 del 18 luglio 2023</w:t>
      </w:r>
    </w:p>
    <w:p>
      <w:pPr>
        <w:pStyle w:val="Heading2"/>
      </w:pPr>
      <w:r>
        <w:t>Erwägungen</w:t>
      </w:r>
    </w:p>
    <w:p>
      <w:r>
        <w:rPr>
          <w:b/>
        </w:rPr>
        <w:t>E. 1</w:t>
      </w:r>
    </w:p>
    <w:p>
      <w:r>
        <w:t>X.________, originaire du [...], est née le [...] 1961 et est de nationalité suisse. Elle a vécu à [...], puis à [...].</w:t>
      </w:r>
    </w:p>
    <w:p>
      <w:r>
        <w:rPr>
          <w:b/>
        </w:rPr>
        <w:t>E. 1.1</w:t>
      </w:r>
    </w:p>
    <w:p>
      <w:r>
        <w:t>Le recours est dirigé contre une ordonnance de mesures provisionnelles de l’autorité de protection de l’adulte instituant une</w:t>
      </w:r>
    </w:p>
    <w:p>
      <w:r>
        <w:t>- 7 - curatelle provisoire de représentation et de gestion au sens des art. 394 al. 1 et 395 al. 1 CC en faveur de la recourante.</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7e éd., Bâle 2022 [ci-après : BSK Zivilgesetzbuch I], n. 21 ad art. 450 CC, p. 2932) dans les dix jours dès la notification de la décision (art. 445 al. 3 CC ; cf. notamment CCUR 14 novembre 2022/193).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Zivilgesetzbuch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- 8 -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1.3</w:t>
      </w:r>
    </w:p>
    <w:p>
      <w:r>
        <w:t>Motivé et interjeté en temps utile par la personne concernée qui conteste la curatelle provisoire instituée en sa faveur, le présent recours est recevable. Le recours étant manifestement mal fondé au vu des considérations qui seront développées ci-après, il a été renoncé à consulter l'autorité de protection. La curatrice n’a pas non plus été invitée à se déterminer. 2.</w:t>
      </w:r>
    </w:p>
    <w:p>
      <w:r>
        <w:rPr>
          <w:b/>
        </w:rPr>
        <w:t>E. 2</w:t>
      </w:r>
    </w:p>
    <w:p>
      <w:r>
        <w:t>Le 9 mars 2023, la Présidente du Tribunal des baux a signalé la situation de la personne concernée et a transmis à la justice de paix, en vue de l’ouverture d’une enquête en institution de mesure de protection, différents courriels alarmants que X.________ avait adressés au greffe du tribunal. Elle a précisé avoir renoncé à ouvrir un dossier et qu’aucune cause n’était pendante devant cette juridiction. Il ressort en particulier des courriels précités que la personne concernée sollicitait l’aide de la juge (« je vous en supplie aidez-moi »), exposant en substance qu’elle se trouvait « torturée psychologiquement, physiquement par beaucoup de gens sur la route » où elle allait, qu’elle était également « torturée par des africains » et « par une famille qui avait essayé de [la] manipuler pour [lui] demander de l’argent », qu’elle vivait « un calvaire qui pourrait rendre l’être humain fou » et qu’elle était « épuisée, paralysée et souffrante ».</w:t>
      </w:r>
    </w:p>
    <w:p>
      <w:r>
        <w:rPr>
          <w:b/>
        </w:rPr>
        <w:t>E. 2.1</w:t>
      </w:r>
    </w:p>
    <w:p>
      <w:r>
        <w:t>L’autorité de protection a indiqué avoir appris que la recourante serait partie au [...], produisant un extrait la concernant qui fait état d’un départ au 14 avril 2023 et mentionne une adresse dans ce pays.</w:t>
      </w:r>
    </w:p>
    <w:p>
      <w:r>
        <w:rPr>
          <w:b/>
        </w:rPr>
        <w:t>E. 2.2.1</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Convention de La Haye</w:t>
      </w:r>
    </w:p>
    <w:p>
      <w:r>
        <w:t>- 9 - du 13 janvier 2000 sur la protection internationale des adultes (ci-après : CLaH 2000 ; RS 0.211.232.1). Selon l'art. 5 CLaH 2000, les autorités, tant judiciaires qu'administratives, de l'Etat contractant de la résidence habituelle de l'adulte sont compétentes pour prendre des mesures tendant à la protection de sa personne ou de ses biens (al. 1). En cas de changement de la résidence habituelle de l'adulte dans un autre Etat contractant, sont compétentes les autorités de l'Etat de la nouvelle résidence habituelle (al. 2). Ainsi, en cas de déplacement de la résidence habituelle dans un autre Etat contractant, les autorités de la nouvelle résidence sont compétentes, obligeant l'autorité de la résidence antérieure, le cas échéant déjà en charge du dossier, de se dessaisir. La perpetuatio fori ne s'applique donc pas dès que le cas est international et régi par la Convention (Bucher, Commentaire romand de la LDIP, Bâle 2011, n. 328 ad art. 85 LDIP ; Dutoit, Droit international privé suisse, Commentaire de la loi fédérale du 18 décembre 1987, supplément à la 4e édition, Bâle 2011, p. 129 ; Lagarde, Rapport explicatif sur la Convention du 13 janvier 2000 sur la protection internationale des adultes, consultable en ligne sur le site http://www.hcch.net/index_fr.php?act=publications.details&amp;pid=2951&amp;dtid =3, n. 51, p. 38 ; Guillaume, La protection internationale de l'adulte, in : Le nouveau droit de la protection de l'adulte, édité par Guillod et Bohnet, Neuchâtel 2012, pp. 341 ss, spéc. p. 359 ; CCUR 12 janvier 2015/9 et les références citées). En revanche, en cas de transfert de résidence d’un Etat contractant à un Etat non contractant, le principe de perpetuatio fori – en vertu duquel un tribunal localement compétent au moment de la création de la litispendance le reste même si les faits constitutifs de sa compétence changent par la suite – s’applique (ATF 123 III 411 c. 2a/bb in fine ; TF 5A_146/2014 du 19 juin 2014 consid. 3.1.1 ; TF 5A_809/2012 du 8 janvier 2013 consid. 2.3.2 in FamPra.ch 2013 p. 519 ; Guillaume, op. cit., p. 360).</w:t>
      </w:r>
    </w:p>
    <w:p>
      <w:r>
        <w:rPr>
          <w:b/>
        </w:rPr>
        <w:t>E. 2.2.2</w:t>
      </w:r>
    </w:p>
    <w:p>
      <w:r>
        <w:t>Si la CLaH 2000 ne définit pas la notion de résidence habituelle, l'on peut s'inspirer de l'art. 20 al. 1 let. b LDIP qui prévoit</w:t>
      </w:r>
    </w:p>
    <w:p>
      <w:r>
        <w:t>- 10 - qu'une personne physique a sa résidence habituelle dans l'Etat dans lequel elle vit pendant une certaine durée, même si cette durée est de prime abord limitée, tout en gardant à l'esprit la nécessité d'assurer au mieux la protection du mineur (ATF 129 III 288 consid. 4.1 ; Dutoit, op. cit., nn. 3 et 4 ad art. 85 LDIP, pp. 280 et 281).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ATF 119 II 64 consid. 2b/bb et les références citées).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(TF 4A_443/2014 du 2 février 2015 consid. 3.4 ; CCUR 22 octobre 2018/203 consid. 3.2.2).</w:t>
      </w:r>
    </w:p>
    <w:p>
      <w:r>
        <w:rPr>
          <w:b/>
        </w:rPr>
        <w:t>E. 2.3</w:t>
      </w:r>
    </w:p>
    <w:p>
      <w:r>
        <w:t>En l’espèce, la recourante est de nationalité suisse et réside en Suisse depuis plusieurs années. Si elle a déclaré vouloir s’installer au [...], dont elle est originaire, on ignore tout de sa situation dans ce pays et si elle y est établie avec une intention durable. La question de savoir si l’extrait SiTi produit suffit à établir l’existence d’un nouveau domicile de la recourante au [...] peut rester indécise. Conformément aux principes rappelés ci-avant, à supposer qu’un tel domicile soit établi, il n’a aucun effet sur la compétence des autorités suisses à prononcer une mesure de protection. D’une part le [...] n’est pas partie à la CLaH 2000 et d’autre part la recourante était domicilié à [...] au moment de l’ouverture de la procédure. L’éventuel transfert de résidence de l’intéressée au [...] est par</w:t>
      </w:r>
    </w:p>
    <w:p>
      <w:r>
        <w:t>- 11 - conséquent sans effet sur la compétence des autorités suisses de protection de l’adulte. 3.</w:t>
      </w:r>
    </w:p>
    <w:p>
      <w:r>
        <w:rPr>
          <w:b/>
        </w:rPr>
        <w:t>E. 3</w:t>
      </w:r>
    </w:p>
    <w:p>
      <w:r>
        <w:t>Le 17 mars 2023, la Procureure du Ministère public de l’arrondissement du Nord vaudois a également signalé la situation de la personne concernée et a transmis un rapport d’intervention de police- secours du 3 septembre 2022, un procès-verbal d’audition de X.________ du 3 janvier 2023 ainsi qu’un courriel de celle-ci du 8 mars 2023 demandant de l’aide, documents laissant envisager que l’intéressée pourrait souffrir de troubles psychiques et nécessiterait une mesure de protection de l’adulte. Il ressort en particulier de ces documents que la personne concernée avait été entendue le 3 janvier 2023 en qualité de prévenue de tentative de lésions corporelles commise le 3 septembre 2022 à [...] au moyen d’un couteau suisse contre une tierce personne. Il s’avère que</w:t>
      </w:r>
    </w:p>
    <w:p>
      <w:r>
        <w:t>- 5 - X.________ avait entaillé le pantalon de la plaignante, laquelle visitait le festival [...]. Elle avait expliqué avoir détenu le couteau trouvé dans ses effets pour se prémunir d’agression dont elle se disait en permanence la victime de la part de plusieurs hommes ou groupes de personnes, précisant que le jour en question, elle tenait le couteau ouvert contre sa jambe de façon à ce que la personne qui voudrait la pousser reçoive un coup de lame. Au vu des propos peu cohérents et empreints d’un sentiment de persécution exacerbé, le médecin de service avait été mandaté et la personne concernée avait été conduite au Service de psychiatrie de [...].</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3.2</w:t>
      </w:r>
    </w:p>
    <w:p>
      <w:r>
        <w:t>La procédure devant l’autorité de protection est régie par les art. 443 ss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 La personne concernée doit être entendue personnellement, à moins que l’audition ne paraisse disproportionnée (art. 447 al. 1 CC).</w:t>
      </w:r>
    </w:p>
    <w:p>
      <w:r>
        <w:rPr>
          <w:b/>
        </w:rPr>
        <w:t>E. 3.3</w:t>
      </w:r>
    </w:p>
    <w:p>
      <w:r>
        <w:t>En l’espèce, la juge de paix a procédé à l'audition de la recourante lors de son audience du 27 mars 2023, de sorte que le droit d’être entendue de celle-ci a été respecté. Il n’est en outre pas donné suite à sa réquisition de tenir une audience en deuxième instance, dès lors qu’il n’y a pas d’obligation dans ce sens, ni de droit à ce que les parties soient entendues personnellement (ATF 142 I 188, JdT 2017 II 246). Or, précisément, la recourante s’est</w:t>
      </w:r>
    </w:p>
    <w:p>
      <w:r>
        <w:t>- 12 - exprimée lors de l’audience de première instance et, assistée d’un mandataire professionnel, a pu faire valoir ses moyens dans son recours. S’agissant de sa requête tendant à ce qu’un délai pour compléter son recours après que son conseil aurait pu prendre connaissance de l’intégralité du dossier lui soit accordé, elle doit être rejetée dès lors que le délai de recours, qui est un délai légal, n’est pas prolongeable (art. 144 al. 1 CPC). Au surplus, le dossier a été tenu à disposition de son conseil pour consultation. Ainsi, l'ordonnance entreprise est formellement correcte et peut être examinée sur le fond. 4.</w:t>
      </w:r>
    </w:p>
    <w:p>
      <w:r>
        <w:rPr>
          <w:b/>
        </w:rPr>
        <w:t>E. 4</w:t>
      </w:r>
    </w:p>
    <w:p>
      <w:r>
        <w:t>Dans son rapport médical du 21 mars, le Dr C.________, spécialiste en psychiatrie et psychothérapie et médecin traitant de X.________ à [...], a indiqué que l’état de santé de celle-ci lui avait paru moyen, que sa patiente présentait de longue date une pathologie décompensée (trouble délirant persistant) et que cette maladie avait des répercussions importantes sur sa capacité à gérer ses affaires personnelles et administratives. Il a considéré judicieux le recours à une mesure de protection en sa faveur.</w:t>
      </w:r>
    </w:p>
    <w:p>
      <w:r>
        <w:rPr>
          <w:b/>
        </w:rPr>
        <w:t>E. 4.1</w:t>
      </w:r>
    </w:p>
    <w:p>
      <w:r>
        <w:t>La recourante conteste la curatelle instituée, estimant que cette mesure est disproportionnée car elle va au-delà de ses besoins, que cela ne correspond pas à ce qu’elle a exprimé lors de l’audience et que « l’ampleur [de la curatelle] fixée par la justice de paix » ne lui a jamais été indiquée. Elle soutient qu’elle est privée de tous ses droits, notamment ceux de décider de la façon dont elle entend mener sa vie, relevant qu’elle n’a sollicité qu’une aide administrative. Elle relève que sa curatrice semble vouloir lui faire changer de psychiatre, les déplacements à [...] étant trop onéreux. Elle indique enfin qu’elle a le projet de quitter définitivement la Suisse pour retourner vivre dans son pays d’origine.</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w:t>
      </w:r>
    </w:p>
    <w:p>
      <w:r>
        <w:t>- 13 -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w:t>
      </w:r>
    </w:p>
    <w:p>
      <w:r>
        <w:t>- 14 -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w:t>
      </w:r>
    </w:p>
    <w:p>
      <w:r>
        <w:rPr>
          <w:b/>
        </w:rPr>
        <w:t>E. 4.2.2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w:t>
      </w:r>
    </w:p>
    <w:p>
      <w:r>
        <w:t>- 15 - 2018 consid. 3.1 et les références citées).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4.2.3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w:t>
      </w:r>
    </w:p>
    <w:p>
      <w:r>
        <w:t>- 16 -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cf. ATF 140 III 1 ; TF 5A_417/2018 du 17 octobre 2018 consid 4.2.2 et les références citées ; TF 5A_192/2018 du 30 avril 2018 consid. 3.1 et les références citées).</w:t>
      </w:r>
    </w:p>
    <w:p>
      <w:r>
        <w:rPr>
          <w:b/>
        </w:rPr>
        <w:t>E. 4.2.4</w:t>
      </w:r>
    </w:p>
    <w:p>
      <w:r>
        <w:t>Une mesure de protection instituée en raison d'un trouble psychique ou d'une déficience mentale doit se fonder sur un rapport d'expertise, à moins que l'un des membres de l'autorité de protection de l'adulte ne dispose de connaissances nécessaires (cf. art. 446 al. 2 CC ; ATF 140 III 97 consid. 4).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w:t>
      </w:r>
    </w:p>
    <w:p>
      <w:r>
        <w:rPr>
          <w:b/>
        </w:rPr>
        <w:t>E. 4.2.5</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S'agissant d'une mesure provisoire, il suffit que la cause et la condition soient réalisées à première vue (CCUR 4 mars 2021/59 consid. 3.1.4 ; JdT 2005 III 51), étant précisé que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4.3</w:t>
      </w:r>
    </w:p>
    <w:p>
      <w:r>
        <w:t>En l'espèce, il est constant que la recourante présente une cause et une condition de curatelle. Sa situation a été signalée par la Présidente du Tribunal des baux et par la Procureure du Ministère public</w:t>
      </w:r>
    </w:p>
    <w:p>
      <w:r>
        <w:t>- 17 - de l’arrondissement du Nord vaudois, après qu’elle avait tenu des propos alarmants et demandé instamment de l’aide (cf. lettre C.2 supra). Selon le Dr C.________, psychiatre, elle présente une pathologie décompensée de longue date, à savoir un trouble délirant persistant, qui a des répercussions importantes sur sa capacité à gérer ses affaires personnelles et administratives. Par ailleurs, le besoin de protection de la recourante est également suffisamment patent au vu du caractère actuellement décompensé de son trouble psychique, dont se font l’écho les signalants et qui ressort clairement des propos à caractère délirant et empreints d’un sentiment de persécution tenus par la recourante dans ses écrits et en audience. Dans ces circonstances, en particulier compte tenu de l’appréciation du psychiatre qui a préconisé l’institution d’une mesure de protection pour la protéger et du fait que la recourante semble minimiser ses difficultés, la curatelle contestée apparaît, au stade de la vraisemblance, parfaitement justifiée et proportionnée. Aucune autre mesure plus légère ne paraît en l'état permettre de protéger adéquatement la recourante. A cet égard, l’expertise ordonnée devrait permettre de déterminer précisément les mesures les plus adaptées à sa situation, à tout le moins si la recourante collabore à cette mesure d’instruction. Compte tenu de ce qui précède, l'autorité de première instance était donc légitimée à instituer une curatelle provisoire de représentation et de gestion en faveur de cette dernière, cette mesure devant être confirmée. On précisera encore qu’il reviendra à l’autorité de première instance d’évaluer et de tirer, le cas échéant, les conséquences d’un départ définitif de Suisse par la recourante. 5. En conclusion, le recours doit être rejeté et l’ordonnance entreprise confirmée.</w:t>
      </w:r>
    </w:p>
    <w:p>
      <w:r>
        <w:t>- 18 - L'arrêt peut être rendu sans frais judiciaires de deuxième instance (art. 74a al. 4 TFJC). Par ces motifs, la Chambre des curatelles du Tribunal cantonal, statuant à huis clos, prononce : I. Le recours est rejeté. II. L’ordonnance est confirmée. III. L'arrêt, rendu sans frais judiciaires de deuxième instance, est exécutoire. La présidente : La greffière : Du L'arrêt qui précède, dont la rédaction a été approuvée à huis clos, est notifié à : - Me Didier Kvicinsky, avocat (pour X.________), - SCTP, à l’att. de Mme M.________,</w:t>
      </w:r>
    </w:p>
    <w:p>
      <w:r>
        <w:t>- 19 -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 l’audience du 24 mars 2023 de la juge de paix, la personne concernée a indiqué être divorcée et sans enfants. Elle a déclaré ne bénéficier d’aucune aide financière, ses dépenses étant couvertes par ses économies. Elle a exposé n’avoir plus d’assurance-maladie, raison pour laquelle elle ne consultait plus son médecin. Elle a ajouté qu’elle n’arrivait à rien faire, que même quand elle souhaitait partir au [...] où elle voulait « s’enfuir », « le système la bloqu[ait] », précisant qu’elle était constamment « pourchassée par des gens ». Elle a indiqué que ses voisins jetaient leurs excréments sur elle. Elle a par ailleurs expliqué qu’elle était en train de demander la retraite anticipée pour partir au [...]. Elle a également relaté avoir séjourné à une reprise durant une vingtaine de jours à [...] après avoir porté plainte contre ses voisins, quatre ans auparavant, qu’elle avait été en péril lors de ce séjour parce que « des</w:t>
      </w:r>
    </w:p>
    <w:p>
      <w:r>
        <w:t>- 6 - personnes voulaient la violer », qu’elle était sortie après avoir écrit au Ministère public, mais en avait été traumatisée. Elle a mentionné que les médicaments qu’elle prenait pendant ce séjour lui avaient causé des malaises, mais que les médecins avaient refusé de changer son traitement. Elle a déclaré qu’après sa sortie, elle avait été victime d’agressions. Selon elle, des personnes « la poussent et l’agressent quand elle essaie de faire ses courses ». Elle a encore indiqué faire l’objet d’une plainte pénale, notamment pour avoir voulu se prémunir d’une agression en manipulant un petit couteau. Enfin, après que la juge lui a expliqué les mesures envisageables, X.________ a déclaré donner son accord à la désignation d’un curateur professionnel pour l’aider dans sa gestion financière et administrative, souhaitant que cette personne se charge des questions liées à sa santé. Elle a en outre accepté de se soumettre à une expertise psychiatrique dans le cadre de l’enquête.</w:t>
      </w:r>
    </w:p>
    <w:p>
      <w:r>
        <w:rPr>
          <w:b/>
        </w:rPr>
        <w:t>E. 6</w:t>
      </w:r>
    </w:p>
    <w:p>
      <w:r>
        <w:t>Une expertise psychiatrique a été mise en œuvre le 24 mars 2023, ce dont X.________ a été avisée à cette date. Elle a aussi été informée qu’une enquête en placement à des fins d’assistance était ouverte la concernant, en sus de celle en institution d’une curatelle.</w:t>
      </w:r>
    </w:p>
    <w:p>
      <w:r>
        <w:rPr>
          <w:b/>
        </w:rPr>
        <w:t>E. 7</w:t>
      </w:r>
    </w:p>
    <w:p>
      <w:r>
        <w:t>Il est précisé que les extraits de l’Office des poursuites relatifs à la personne concernée figurant au dossier ne font état d’aucune poursuite la concernant.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