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D520.026626 vom 21. Juli 2020</w:t>
      </w:r>
    </w:p>
    <w:p>
      <w:r>
        <w:t>VD Tribunal cantonal, 2020-07-21, FR</w:t>
      </w:r>
    </w:p>
    <w:p>
      <w:r>
        <w:rPr>
          <w:b/>
        </w:rPr>
        <w:t xml:space="preserve">Quelle: </w:t>
      </w:r>
      <w:r>
        <w:t>https://mcp.opencaselaw.ch/entscheid/vd_gerichte_D520.026626</w:t>
      </w:r>
    </w:p>
    <w:p>
      <w:r>
        <w:t>FR: VD_GERICHTE D520.026626 du 21 juillet 2020</w:t>
      </w:r>
    </w:p>
    <w:p>
      <w:r>
        <w:t>IT: VD_GERICHTE D520.026626 del 21 luglio 2020</w:t>
      </w:r>
    </w:p>
    <w:p>
      <w:pPr>
        <w:pStyle w:val="Heading2"/>
      </w:pPr>
      <w:r>
        <w:t>Erwägungen</w:t>
      </w:r>
    </w:p>
    <w:p>
      <w:r>
        <w:rPr>
          <w:b/>
        </w:rPr>
        <w:t>E. 1</w:t>
      </w:r>
    </w:p>
    <w:p>
      <w:r>
        <w:t>En vertu de l’art. 445 al. 2 1ère phrase CC (Code civil suisse du 10 décembre 1907 ; RS 210), en cas d’urgence particulière, l’autorité de protection de l’adulte peut prendre des mesures superprovisionnelles sans entendre les personnes parties à la procédure.</w:t>
      </w:r>
    </w:p>
    <w:p>
      <w:r>
        <w:rPr>
          <w:b/>
        </w:rPr>
        <w:t>E. 2.1</w:t>
      </w:r>
    </w:p>
    <w:p>
      <w:r>
        <w:t>Selon la jurisprudence, il ne se justifie pas d’ouvrir la voie du recours contre une ordonnance de mesures superprovisionnelles du droit de la protection de l’adulte, l’ouverture d’un tel recours risquant d’aboutir au résultat que, dans le cadre de son examen, l’autorité de recours ne préjuge des conditions des mesures provisionnelles (ATF 140 III 289, JdT 2015 II 151).</w:t>
      </w:r>
    </w:p>
    <w:p>
      <w:r>
        <w:rPr>
          <w:b/>
        </w:rPr>
        <w:t>E. 2.2</w:t>
      </w:r>
    </w:p>
    <w:p>
      <w:r>
        <w:t>En l’espèce, dirigé contre une ordonnance de mesures d’extrême urgence, le présent recours est irrecevable. Ceci correspond d’ailleurs à la teneur de l’art. 22 al. 1 LVPAE (Loi du 29 mai 2012 d’application du droit fédéral de la protection de l’adulte et de l’enfant ; BLV 211.25). Le recourant pourra du reste faire valoir ses moyens à</w:t>
      </w:r>
    </w:p>
    <w:p>
      <w:r>
        <w:t>- 5 - l’audience de mesures provisionnelles fixée le 4 août 2020, soit dans un délai raisonnable.</w:t>
      </w:r>
    </w:p>
    <w:p>
      <w:r>
        <w:rPr>
          <w:b/>
        </w:rPr>
        <w:t>E. 3</w:t>
      </w:r>
    </w:p>
    <w:p>
      <w:r>
        <w:t>Le présent arrêt peut être rendu sans frais judiciaires (art. 74a al. 4 TFJC [Tarif du 28 septembre 2010 des frais judiciaires civils ; BLV 270.11.5]). Par ces motifs, la Chambre des curatelles du Tribunal cantonal, statuant à huis clos, prononce : I. Le recours est irrecevable. II. L’arrêt, rendu sans frais judiciaires de deuxième instance, est exécutoire. Le président : La greffière : Du L'arrêt qui précède, dont la rédaction a été approuvée à huis clos, est notifié à : - M. A.Y.________,</w:t>
      </w:r>
    </w:p>
    <w:p>
      <w:r>
        <w:t>- 6 - et communiqué à : - Mme la Juge de paix du district de Lausanne, - Autorité de protection de l’enfant et de l’adulte de [...], - [...], à l’att. du Dr K.________, - Cabinet [...], à l’att. de Mme E.________,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