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D514.030516 vom 29. Oktober 2014</w:t>
      </w:r>
    </w:p>
    <w:p>
      <w:r>
        <w:t>VD Tribunal cantonal, 2014-10-29, FR</w:t>
      </w:r>
    </w:p>
    <w:p>
      <w:r>
        <w:rPr>
          <w:b/>
        </w:rPr>
        <w:t xml:space="preserve">Quelle: </w:t>
      </w:r>
      <w:r>
        <w:t>https://mcp.opencaselaw.ch/entscheid/vd_gerichte_D514.030516</w:t>
      </w:r>
    </w:p>
    <w:p>
      <w:r>
        <w:t>FR: VD_GERICHTE D514.030516 du 29 octobre 2014</w:t>
      </w:r>
    </w:p>
    <w:p>
      <w:r>
        <w:t>IT: VD_GERICHTE D514.030516 del 29 ottobre 2014</w:t>
      </w:r>
    </w:p>
    <w:p>
      <w:pPr>
        <w:pStyle w:val="Heading2"/>
      </w:pPr>
      <w:r>
        <w:t>Erwägungen</w:t>
      </w:r>
    </w:p>
    <w:p>
      <w:r>
        <w:rPr>
          <w:b/>
        </w:rPr>
        <w:t>E. 1</w:t>
      </w:r>
    </w:p>
    <w:p>
      <w:r>
        <w:t>Le recours est dirigé contre une décision du juge de paix confirmant l’institution d’une curatelle de portée générale provisoire à forme des art. 398 et 445 al. 1 CC en faveur de D.________.</w:t>
      </w:r>
    </w:p>
    <w:p>
      <w:r>
        <w:t>- 6 -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Le recourant affirme que le mot «curatelle» ne lui plaît pas, mais que «si c’est une assistante sociale, il est d’accord». Il conteste donc implicitement le principe de la mesure instituée à son encontre. a) Selon l'art. 390 al. 1 CC, l'autorité de protection de l'adulte institue une curatelle lorsqu'une personne majeure est partiellement ou</w:t>
      </w:r>
    </w:p>
    <w:p>
      <w:r>
        <w:t>- 7 -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L’expression «troubles psychiques», qui doit être comprise dans son acception large (Meier/Lukic, op. cit., n. 401, p. 191), vise toutes les pathologies mentales reconnues en psychiatrie, soit les psychoses et les psychopathies ayant des causes physiques ou non, ainsi que les démences. La notion vise également les dépendances, en particulier la toxicomanie, l’alcoolisme ou la pharmacodépendance (Droit de la protection de l’adulte, Guide pratique COPMA, 2012, n. 5.9, p. 137; Meier/Lukic, op. cit., nn. 400 et 401, p. 191).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Guide pratique COPMA, n. 5.10, p. 138).</w:t>
      </w:r>
    </w:p>
    <w:p>
      <w:r>
        <w:t>- 8 -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 et 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 et 509, p. 230; Henkel, Basler Kommentar, op. cit., n. 10 ad art. 398 CC, p. 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10, p. 230). L'incapacité durable de discernement n'est mentionnée qu'à titre d'exemple et ne saurait être comprise comme une condition stricte d'institution d'une mesure de curatelle de portée</w:t>
      </w:r>
    </w:p>
    <w:p>
      <w:r>
        <w:t>- 9 -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op. cit., n. 12 ad art. 398 CC, p. 270; sur le tout : JT 2013 III 44). c) L'autorité de protection prend, d'office ou à la demande d'une personne partie à la procédure, toutes les mesures provisionnelles nécessaires pendant la durée de la procédure. Elle peut notamment ordonner une mesure de protection de l'adulte à titre provisoire (art. 445 al. 1 CC; Guide pratique COPMA, n. 1.184, pp. 74 et 75). Ainsi, le retrait de l'exercice des droits civils peut constituer provisoirement l'ultima ratio, si le motif fondant l'instauration de la curatelle de portée générale est hautement vraisemblable (Auer/Marti, Basler Kommentar, op. cit., nn. 16 et 29 ad art. 445 CC; Steck, in Commentaire du droit de la famille [CommFam], Protection de l’adulte, Berne 2013, n. 10 ad art. 445 CC). S’agissant d’une mesure provisoire, il suffit que la cause et la condition soient réalisées à première vue (JT 2005 III 51). d) En l’espèce, il ressort du dossier que le recourant souffre d’une schizophrénie paranoïde chronique et que, de par sa pathologie psychiatrique, il adopte un comportement problématique. Ainsi, il a de la peine à distinguer les personnes en qui il peut avoir confiance de celles dont il devrait se méfier. En outre, il est en proie à un sentiment de persécution et de plus en plus suspicieux à l’égard de son entourage. Il fait donc appel à des personnes extérieures à son cercle familial et de proches pour prendre des conseils, comme le comptable de l’EMS où il réside. Enfin, il s’oppose à toute adaptation de son traitement médicamenteux et</w:t>
      </w:r>
    </w:p>
    <w:p>
      <w:r>
        <w:t>- 10 - menace toujours de l’arrêter. Il met dès lors clairement sa situation personnelle, administrative et financière en péril. Au regard des éléments précités, tant la cause que la condition d’une curatelle de portée générale sont réalisées à première vue, à tout le moins dans le cadre provisionnel. En effet, l’affection diagnostiquée constitue à l’évidence des troubles psychiques au sens de l’art. 390 al. 1 ch. 1 CC et le besoin particulier d’aide du recourant est avéré. Ainsi, à l’instar du premier juge, la cour de céans considère qu’une curatelle de portée générale provisoire est la seule mesure de protection à même, à tout le moins provisoirement et jusqu’à plus ample instruction, d’apporter au recourant la protection dont il a besoin. L’institution d’une mesure moins incisive apparaît en l’état insuffisante pour sauvegarder ses intérêts.</w:t>
      </w:r>
    </w:p>
    <w:p>
      <w:r>
        <w:rPr>
          <w:b/>
        </w:rPr>
        <w:t>E. 3</w:t>
      </w:r>
    </w:p>
    <w:p>
      <w:r>
        <w:t>Le recourant conteste également la désignation de H.________ en qualité de curateur, lui reprochant son manque de disponibilité. 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w:t>
      </w:r>
    </w:p>
    <w:p>
      <w:r>
        <w:t>- 11 -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(Guide pratique COPMA, n. 6.21, p. 186; Meier/Lukic, op. cit., n. 546, p. 249). Toutefois,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elle prendra en considération l’attitude de refus de la personne concernée à l’égard de la personne proposée comme curatrice que si le fait de passer outre à cette objection ne remet pas en question le succès de sa prise en charge. En effet, le refus de la personne concernée ne saurait entraver la mise en oeuvre de la mesure de protection (Meier/Lukic, op. cit., nn. 548 ss, pp. 250 et 251 et réf citées; Leuba et crts, CommFam, n. 4 ad art. 401 al. 3 CC, p. 520; De Luze et crts, op. cit., n. 3.1 ad art. 401 al. 3 CC, p. 686; Guide pratique COPMA, n. 6.22, p. 187; CCUR 18 juin 2013/159). Les «conditions requises»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(Reusser, Basler Kommentar, op. cit., n. 14 ad art. 401 CC, p. 302; TF 5A_443/2008 du 14 octobre 2008 c. 3). b) L'art. 40 LVPAE prévoit une distinction entre les mandats de protection pouvant être confiés à des curateurs ou tuteurs privés (al. 1,</w:t>
      </w:r>
    </w:p>
    <w:p>
      <w:r>
        <w:t>- 12 - «cas simples» ou «cas légers») et ceux pouvant être attribués à l'entité de curateurs et tuteurs professionnels (al. 4, «cas lourds»).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c) En l’espèce, le recourant reproche au curateur son manque de disponibilité mais ne propose aucune personne proche ou de confiance et ayant les capacités nécessaires pour le remplacer. En outre, les troubles qui affectent le recourant, l’aggravation de sa situation et le fait qu’il s’oppose à toute adaptation de son traitement médicamenteux et menace de l’arrêter font que sa situation constitue un cas lourd au sens de l’art. 40 al. 4 LVPAE. Il est donc nécessaire de confier la curatelle à un curateur professionnel.</w:t>
      </w:r>
    </w:p>
    <w:p>
      <w:r>
        <w:t>- 13 - Enfin, l’absence de disponibilité invoquée par le recourant ne saurait être un motif de changement de curateur. En effet, ce n’est pas parce que la personne concernée veut subitement s’entretenir avec son curateur que celui-ci doit se rendre chez elle à sa demande. Il appartient plutôt au curateur de décider dans quelle mesure des entretiens sont nécessaires en fonction de l’évolution de la situation et des questions à régler. Dès lors, ce moyen, mal fondé, doit également être rejeté.</w:t>
      </w:r>
    </w:p>
    <w:p>
      <w:r>
        <w:rPr>
          <w:b/>
        </w:rPr>
        <w:t>E. 4</w:t>
      </w:r>
    </w:p>
    <w:p>
      <w:r>
        <w:t>En conclusion, le recours interjeté par D.________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IV. L'arrêt motivé est exécutoire. La présidente : La greffière :</w:t>
      </w:r>
    </w:p>
    <w:p>
      <w:r>
        <w:t>- 14 - Du 29 octobre 2014 Le dispositif de l'arrêt qui précède est communiqué par écrit aux intéressés. La greffière : Du L'arrêt qui précède, dont la rédaction a été approuvée à huis clos, est notifié à : - M. D.________, - M. H.________, assistant social auprès de l’Office des curatelles et tutelles professionnelles, et communiqué à : - Juge de paix du district de Lausanne,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