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D514.002716 vom 27. Juni 2014</w:t>
      </w:r>
    </w:p>
    <w:p>
      <w:r>
        <w:t>VD Tribunal cantonal, 2014-06-27, FR</w:t>
      </w:r>
    </w:p>
    <w:p>
      <w:r>
        <w:rPr>
          <w:b/>
        </w:rPr>
        <w:t xml:space="preserve">Quelle: </w:t>
      </w:r>
      <w:r>
        <w:t>https://mcp.opencaselaw.ch/entscheid/vd_gerichte_D514.002716</w:t>
      </w:r>
    </w:p>
    <w:p>
      <w:r>
        <w:t>FR: VD_GERICHTE D514.002716 du 27 juin 2014</w:t>
      </w:r>
    </w:p>
    <w:p>
      <w:r>
        <w:t>IT: VD_GERICHTE D514.002716 del 27 giugno 2014</w:t>
      </w:r>
    </w:p>
    <w:p>
      <w:pPr>
        <w:pStyle w:val="Heading2"/>
      </w:pPr>
      <w:r>
        <w:t>Erwägungen</w:t>
      </w:r>
    </w:p>
    <w:p>
      <w:r>
        <w:rPr>
          <w:b/>
        </w:rPr>
        <w:t>E. 1</w:t>
      </w:r>
    </w:p>
    <w:p>
      <w:r>
        <w:t>Le recours est dirigé contre une décision de la justice de paix renonçant à instituer une curatelle de portée générale au sens des art. 390 ss CC en faveur de C.________. a) Contre une telle décision, le recours de l'art. 450 CC est ouvert à la Chambre des curatelles (art. 8 LVPAE [Loi du 29 mai 2012 d'application du droit fédéral de la protection de l'adulte et de l'enfant,</w:t>
      </w:r>
    </w:p>
    <w:p>
      <w:r>
        <w:t>- 6 -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En première instance, selon les éléments au dossier, l’intervention de la Fondation semble apparemment s’être limitée au signalement de la situation de C.________. Le signalement d’une personne en difficulté ne confère toutefois pas d’office, à son auteur, la qualité de partie à la procédure. Pour être fondé à procéder en cette qualité, il est en effet nécessaire de déposer formellement une requête tendant à ce but, démarche qui suppose l’existence d’un intérêt digne de protection (art. 14 LVPAE). En l’espèce, la Fondation n’a pas déposé de requête visant à obtenir la qualité de partie. Il n’est cependant pas nécessaire de trancher la question de savoir si elle a agi devant l’autorité de protection en cette qualité ou simplement en tant qu’autorité signalante. En effet, au sens de l’art. 450 al. 2 ch. 2 CC, peuvent être qualifiés de « proche de la personne concernée » et sont donc fondés à recourir le médecin et la personne qui se sont occupés de la personne ayant un besoin de protection et qui ne sont pas parties à la procédure (Meier/Lukic, Introduction au nouveau droit de protection de l'adulte, 2011, n. 129, pp. 58 ss ; Steck, CommFam, Protection de l’adulte, Berne 2013, n. 24 ad art. 450 CC). Conformément à l'art. 450d CC, la Chambre des curatelles donne à la justice de paix (art. 4 al. 1 LVPAE) l'occasion de prendre position (al. 1), cette autorité pouvant, au lieu de prendre position, reconsidérer sa décision (al. 2). L’autorité de protection a été consultée conformément à l’art. 450d al. 1 CC. . En l’espèce, émanant d’une personne légitimée à recourir, dûment motivé et déposé en temps utile, le recours est recevable.</w:t>
      </w:r>
    </w:p>
    <w:p>
      <w:r>
        <w:t>- 7 -</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w:t>
      </w:r>
    </w:p>
    <w:p>
      <w:r>
        <w:rPr>
          <w:b/>
        </w:rPr>
        <w:t>E. 3</w:t>
      </w:r>
    </w:p>
    <w:p>
      <w:r>
        <w:t>La recourante soutient que la situation de C.________ nécessite qu’il soit placé sous curatelle de portée générale. En vertu de l’art. 390 al. 1 CC, l’autorité de protection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encore,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Introduction au nouveau droit de la protection de l'adulte, 2011, n. 397, p. 190 ; Droit de la protection de l’adulte, Guide pratique COPMA, 2012, Guide pratique COPMA, n. 5.10, p. 138).</w:t>
      </w:r>
    </w:p>
    <w:p>
      <w:r>
        <w:t>- 8 - Au sens de l’art. 390 al. 1 ch. 1 CC, trois causes alternatives permettent d’instaurer une curatelle. Il s’agit de la déficience mentale, des troubles psychiques ou de tout autre état de faiblesse affectant la condition de la personne concernée. En particulier, l’expression « troubles psychiques », qui doit être comprise dans son acception large (Meier/Lukic, op. cit., n. 401, p. 191), vise toutes les pathologies mentales reconnues en psychiatrie, soit celles qui sont d’origine physique (exogènes, organiques, symptomatiques) et celles qui ne le sont pas (endogènes : psychoses, psychopathies pouvant avoir des causes physiques, démences comme la démence sénile), ainsi que les dépendances comme la toxicomanie, l’alcoolisme ou la pharmacodépendance (Meier, CommFam, Protection de l’adulte, Berne 2013, nn. 9 et 10, p. 385 ; COPMA, op. cit., n. 5.9, p. 137 ; Meier/Lukic, op. cit., nn. 400 et 401, p. 191). Aux termes de l’art. 389 al. 1 ch. 1 CC, l’autorité de protection ordonne une mesure lorsque l’appui fourni à la personne ayant besoin d’aide par les membres de sa famille, par d’autres proches ou par des services publics ne suffit pas ou semble à priori insuffisante.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Parmi les objectifs du nouveau droit de la protection de l’adulte figurent la réduction de l’intervention étatique, respectivement le renforcement de la solidarité familiale. Une mesure de protection n’est ordonnée que si l’aide dont la personne concernée a besoin ne peut être fournie par les membres de sa famille, par d’autres proches ou par des services publics ou privés. Les mesures prises par l’autorité de protection</w:t>
      </w:r>
    </w:p>
    <w:p>
      <w:r>
        <w:t>- 9 - sont donc subsidiaires par rapport au soutien apporté par les proches. Toutefois, dans le cadre de sa décision, l’autorité doit prendre en considération la charge que la personne concernée représente pour ses proches et pour les tiers ainsi que son besoin de protection. Conformément au principe de proportionnalité, l’appui exigé des proches et des tiers doit rester dans des limites acceptables (Meier/Lukic, op. cit., nn. 380 et 383, pp. 182 et 183). Lorsqu’une personne a particulièrement besoin d’aide, notamment en raison d’une incapacité durable de discernement, une curatelle de portée générale est instituée (art. 398 al. 1er). Ce type de curatelle couvre tous les domaines de l’assistance personnelle, de la gestion du patrimoine et des rapports juridiques avec les tiers (art. 398 al. 2 CC). La personne concernée est privée de plein droit de l’exercice des droits civils (art. 398 al. 3 CC). En l'espèce, selon les éléments au dossier, C.________ semble souffrir de troubles psychiques graves qui ont nécessité de nombreuses hospitalisa-tions et qui l’empêchent d’assainir sa situation financière et administrative. Outre qu’il ne sait pas lire, il est dans l’incapacité de nommer un représentant en mesure de gérer ses affaires et de contrôler les interventions de celui-ci. En outre, il compromet ses intérêts en procédant à des démarches irréalistes telles que formuler une demande de permis de conduire, laquelle démarche, par exemple, a entraîné des frais qu’il ne peut supporter. C.________ fait aussi l'objet d'une enquête pénale, qu'il ne peut assumer seul, de même qu'il n’est pas en mesure de régler ses conditions de séjour en Suisse. L'aide des assistants sociaux qui sont en charge de sa situation a atteint ses limites, C.________ ne leur remettant pas le courrier qu'il reçoit. Démuni de proches et d’amis, C.________ ne dispose plus de l’aide de l’Y.________ depuis qu’il se trouve dans l’Unité résidentielle hospitalière de la Fondation de Nant. Sa situation paraissant ainsi avoir évolué au point que l’aide fournie par les services sociaux n’apparaît plus suffisante, il est nécessaire de lui désigner un curateur apte à le représenter afin que ses intérêts soient sauvegardés et, dans un premier temps, que les démarches indispensables à son</w:t>
      </w:r>
    </w:p>
    <w:p>
      <w:r>
        <w:t>- 10 - placement dans un EMS et au financement de celui-ci puissent être entreprises. Afin de déterminer le type de curatelle qui sera le plus à même à C.________ de lui fournir l’aide qui lui est nécessaire, il importe que la justice de paix évalue précisément ses besoins de protection et dans le cas où une curatelle de portée générale devrait être envisagée (TF 5A_843/2013 du 13 janvier 2014) – ce qui semble être le cas au vu des difficultés rencontrées par l’intéressé – qu’elle ordonne son expertise psychiatrique, étant précisé qu’elle pourrait être confiée aux mêmes experts que l’expertise pénale qui semble avoir été ordonnée à son encontre. Compte tenu de la complexité de la situation, elle veillera aussi à désigner à C.________ un curateur professionnel. En outre, compte tenu de l’urgence du placement à intervenir, elle devra examiner la nécessité de prendre sans délai une mesure de protection provisoire en sa faveur.</w:t>
      </w:r>
    </w:p>
    <w:p>
      <w:r>
        <w:rPr>
          <w:b/>
        </w:rPr>
        <w:t>E. 4</w:t>
      </w:r>
    </w:p>
    <w:p>
      <w:r>
        <w:t>En conclusion, le recours doit être admis, la décision annulée et la cause renvoyée à la Justice de paix du district de la Riviera – Pays- d’Enhaut pour nouvelle instruction et nouvelle décision dans le sens des considérants. Le présent arrêt peut être rendu sans frais (art. 74a al. 4 TFJC [Tarif du 28 septembre 2010 des frais judiciaires civils, RSV 270.11.5]). Par ces motifs, la Chambre des curatelles du Tribunal cantonal, statuant à huis clos, prononce : I. Le recours est admis.</w:t>
      </w:r>
    </w:p>
    <w:p>
      <w:r>
        <w:t>- 11 - II. La décision est annulée et la cause renvoyée à la Justice de paix du district de la Riviera – Pays-d’Enhaut pour nouvelle instruction et nouvelle décision dans le sens des considérants. III. L’arrêt est rendu sans frais. IV. L'arrêt motivé est exécutoire. La présidente : La greffière : Du 27 juin 2014 Le dispositif de l'arrêt qui précède est communiqué par écrit aux intéressés. La greffière : Du L'arrêt qui précède, dont la rédaction a été approuvée à huis clos, est notifié à : - M. C.________, - Fondation de Nant (à l’attention du Dr G.________),</w:t>
      </w:r>
    </w:p>
    <w:p>
      <w:r>
        <w:t>- 12 -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