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D513.045885 vom 7. März 2014</w:t>
      </w:r>
    </w:p>
    <w:p>
      <w:r>
        <w:t>VD Tribunal cantonal, 2014-03-07, FR</w:t>
      </w:r>
    </w:p>
    <w:p>
      <w:r>
        <w:rPr>
          <w:b/>
        </w:rPr>
        <w:t xml:space="preserve">Quelle: </w:t>
      </w:r>
      <w:r>
        <w:t>https://mcp.opencaselaw.ch/entscheid/vd_gerichte_D513.045885</w:t>
      </w:r>
    </w:p>
    <w:p>
      <w:r>
        <w:t>FR: VD_GERICHTE D513.045885 du 7 mars 2014</w:t>
      </w:r>
    </w:p>
    <w:p>
      <w:r>
        <w:t>IT: VD_GERICHTE D513.045885 del 7 marzo 2014</w:t>
      </w:r>
    </w:p>
    <w:p>
      <w:pPr>
        <w:pStyle w:val="Heading2"/>
      </w:pPr>
      <w:r>
        <w:t>Erwägungen</w:t>
      </w:r>
    </w:p>
    <w:p>
      <w:r>
        <w:rPr>
          <w:b/>
        </w:rPr>
        <w:t>E. 1</w:t>
      </w:r>
    </w:p>
    <w:p>
      <w:r>
        <w:t>Le recours est dirigé contre une décision de la justice de paix confirmant l'institution d'une curatelle provisoire de portée générale à forme des art. 398 et 445 al. 1 CC (Code civil du 10 décembre 1907; RS 210) en faveur de C.________.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La recourante explique qu'elle souffre d'une photophobie bilatérale, soit de troubles oculaires explicables par une fuite de l'œil gauche et une insuffisance de convergence, ainsi que de strabisme. Elle fait valoir que ses problèmes de déficience oculaire n'ont pas été pris au sérieux, ce qui a aggravé ses craintes. Lorsque ses difficultés sont apparues, elle a demandé une curatelle afin de la protéger pour ses problèmes oculaires – dès lors qu'elle ne pouvait plus ni lire ni écrire – et non psychiatriques. La recourante estime qu'une curatelle d'accompagnement ou un rendez-vous avec le service social et de réadaptation de l'Hôpital ophtalmique auraient pu l'aider pour gérer ses</w:t>
      </w:r>
    </w:p>
    <w:p>
      <w:r>
        <w:t>- 9 - affaires administratives et financières. A ce jour, ayant obtenu à l'étranger un diagnostic clair et un traitement adéquat d'un orthoptiste, elle soutient qu'elle est en bonne santé, qu'elle ne prend aucun médicament et qu'elle est dès lors en mesure de gérer ses affaires administratives et financières, comme par le passé. La recourante précise qu'elle a demandé à sa sœur au début du mois d'octobre 2013 de retirer sur leur compte commun la somme de 20'000 fr. pour faire face à d'éventuels frais médicaux. Elle n'en a finalement pas eu besoin et n'a en aucun cas donné à sa sœur la somme de 32'000 francs. S'agissant de sa société, elle souligne avoir donné procuration il y a plusieurs années à [...], de la fiduciaire [...], valable en cas de décès, maladie ou accident, de sorte qu'il pouvait aider son ancien compagnon dans la gestion et le bouclement de la société. Pour le surplus, elle souhaite s'inscrire au chômage et retrouver au plus vite une vie normale et un emploi. Elle reproche à son curateur de ne rien faire et relève, enfin, qu'elle ne fait pas l'objet de poursuites. a)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ainsi trois causes alternatives, à savoir la déficience mentale, les troubles psychiques ou tout autre état de faiblesse qui affecte la condition de la personne concernée, qui correspondent</w:t>
      </w:r>
    </w:p>
    <w:p>
      <w:r>
        <w:t>- 10 - partiellement à l'ancien droit de la tutelle (Meier/Lukic, op. cit., n. 398, p. 190). Dans le dernier cas,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Protection de l’adulte,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224). L'état de faiblesse doit en outre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L'art. 398 CC prévoit que la curatelle de portée générale est instituée lorsqu'une personne a particulièrement besoin d'aide, en raison</w:t>
      </w:r>
    </w:p>
    <w:p>
      <w:r>
        <w:t>- 11 -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op. cit.,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w:t>
      </w:r>
    </w:p>
    <w:p>
      <w:r>
        <w:t>- 12 - (Guide pratique COPMA, n. 5.52, p. 155; Henkel, op. cit., n. 12 ad art. 398 CC, p. 270). c) Au demeurant, 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Steck, CommFam, op. cit., n. 10 ad art. 445 CC). d) En l'espèce, lorsque la recourante a requis l'instauration d'une mesure de curatelle en sa faveur, le 22 octobre 2013, elle a invoqué souffrir de photophobie, d'un traumatisme psycho-social et d'autisme, et souhaiter se protéger de son compagnon. Le Dr E.________ a précisé qu'elle souffrait d'une décompensation psychotique très importante et qu'elle mettait en danger grave son patrimoine personnel et sa vie professionnelle. Elle présentait une forte bouffée délirante avec un puissant délire de persécution, harcelant notamment différentes personnes par mails, lettres et autres objets. A ce jour, l'état de santé de la recourante semble s'être amélioré et il n'est pas établi, au vu du rapport du Dr N.________ du 18 décembre 2013, qu'elle souffre de troubles psychiques: selon le médecin, l'intéressée ne présente pas de symptôme de la lignée psychotique ou dépressive, ni d'idée suicidaire. Il n'objective pas de bizarrerie ou de trouble du comportement justifiant une prise en charge psychiatrique hospitalière aiguë ou un placement institutionnel. Il n'en demeure pas moins qu'en raison de son état de santé général, la recourante se trouve dans un état de faiblesse qui l'empêche de gérer ses affaires. Selon les constatations du curateur provisoire désigné – curateur professionnel –, la situation administrative et financière de la recourante est complexe et opaque. Il est nécessaire d'avoir un tableau réel de la situation que</w:t>
      </w:r>
    </w:p>
    <w:p>
      <w:r>
        <w:t>- 13 - l'intéressée est incapable de donner, ses explications étant contradictoires et incohérentes. Ainsi, la recourante explique qu'elle n'a pas donné 32'000 fr. à sa sœur mais qu'elle lui a demandé de retirer la somme de 20'000 fr. sur leur compte commun pour assumer d'éventuels frais médicaux, ce qui ne s'est au final pas avéré nécessaire. Il résulte toutefois des pièces produites qu'elle a signé le 30 septembre 2013 un document selon lequel elle requerrait que soit versé à B.V.________ le "montant total du compte", lequel ascendait alors à 30'277 fr. 65. On ignore à ce jour ce qu'il est advenu de cette somme, qui ne se trouve pas dans son patrimoine. Quant à la société T.________SA, la recourante fait valoir qu'elle a donné une procuration à [...], de la fiduciaire [...], alors que le curateur souligne qu'il n'a pas trouvé une telle fiduciaire: il résulte en effet du Registre du commerce que cette entreprise individuelle a été radiée en 2008. La recourante prétend encore ne pas avoir de dette alors que, vérification faite par le curateur, la BCV a contre elle une dette de 170'000 francs. Certes, la recourante ne fait pas l'objet de poursuites et d'actes de défaut de biens. Il n'en demeure pas moins que des arriérés de TVA sont requis de la société T.________SA, que des créanciers sont les contrats n'ont pas été respectés réclament apparemment des dédommagements et que le père de la recourante a réglé de nombreuses factures la concernant, pour un montant de près de 10'000 francs. Au vu de l'état de faiblesse constaté, il existe un besoin de protection avéré, afin de permettre d'éclaircir la situation financière réelle de la recourante et de mettre en œuvre les mesures nécessaires à l'assainir, notamment en relation avec la société T.________SA. En outre, la recourante ne dispose d'aucune ressource financière, dès lors qu'elle a donné sa démission durant son épisode de décompensation, et les démarches pour l'obtention d'indemnités de chômage ou du revenu d'insertion s'annoncent délicates au vu de l'état de santé de la recourante d'une part, de la "disparition" de la somme de près de 30'000 fr. d'autre part. A cela s'ajoute que, du point de vue social, elle a selon son curateur complètement "perdu le fil conducteur", le conflit avec son entourage venant accentuer la gravité de la situation. La recourante ne paraît pas du tout consciente de cette situation et a peiné devant les premiers juges à</w:t>
      </w:r>
    </w:p>
    <w:p>
      <w:r>
        <w:t>- 14 - expliquer et justifier ses actes, donnant l'impression d'ignorer complètement sa situation. Les explications données dans ses écritures de recours ne sont pas de nature à lever les doutes à cet égard. Cela étant, tant la cause que la condition de la curatelle de portée générale sont réalisées prima facie, à tout le moins dans le cadre provisionnel. S'il est vrai qu'une amélioration de l'état de santé de la recourante semble se dessiner, celle-ci est en l'état trop fragile pour permettre une levée de la mesure prononcée, qui doit être maintenue le temps de l'enquête. Par ailleurs, la recourante refusant aujourd'hui toute mesure de protection, une curatelle d'accompagnement n'entre pas en ligne de compte (art. 393 al. 1 CC). Quant à une curatelle de représentation et/ou de gestion, elle n'apparaît pas suffisante, compte tenu de la complexité de la situation, qui nécessite – à tout le moins en l'état – la privation de l'exercice des droits civils de l'intéressée. En effet, la recourante a en l'espèce une fausse perception de ses intérêts en général et doit être protégée contre elle-même, voire contre l'exploitation de tiers, sans que l'on dispose d'éléments qui permettent de se contenter de limitations ponctuelles.</w:t>
      </w:r>
    </w:p>
    <w:p>
      <w:r>
        <w:rPr>
          <w:b/>
        </w:rPr>
        <w:t>E. 3</w:t>
      </w:r>
    </w:p>
    <w:p>
      <w:r>
        <w:t>En conclusion, le recours interjeté par C.________ doit être rejeté selon le mode procédural de l'art. 312 al. 1 CPC et l'ordonnance entreprise confirmée. Le présent arrêt peut être rendu sans frais judiciaires (art. 74a al. 4 TFJC [tarif du 28 septembre 2010 des frais judiciaires civils, RSV 270.11.5]).</w:t>
      </w:r>
    </w:p>
    <w:p>
      <w:r>
        <w:t>- 15 - Par ces motifs, la Chambre des curatelles du Tribunal cantonal, statuant à huis clos, prononce : I. Le recours est rejeté. II. L'ordonnance est confirmée. III. L'arrêt est rendu sans frais judiciaires. IV. L'arrêt motivé est exécutoire. La présidente : La greffière : Du 7 mars 2014 Le dispositif de l'arrêt qui précède est communiqué par écrit aux intéressés. La greffière : Du L'arrêt qui précède, dont la rédaction a été approuvée à huis clos, est notifié à : - Mme C.________ - M. H.________, Office des curatelles et tutelles professionnelles,</w:t>
      </w:r>
    </w:p>
    <w:p>
      <w:r>
        <w:t>- 16 -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