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D125.012675 vom 24. Oktober 2025</w:t>
      </w:r>
    </w:p>
    <w:p>
      <w:r>
        <w:t>VD Tribunal cantonal, 2025-10-24, FR</w:t>
      </w:r>
    </w:p>
    <w:p>
      <w:r>
        <w:rPr>
          <w:b/>
        </w:rPr>
        <w:t xml:space="preserve">Quelle: </w:t>
      </w:r>
      <w:r>
        <w:t>https://mcp.opencaselaw.ch/entscheid/vd_gerichte_D125.012675</w:t>
      </w:r>
    </w:p>
    <w:p>
      <w:r>
        <w:t>FR: VD_GERICHTE D125.012675 du 24 octobre 2025</w:t>
      </w:r>
    </w:p>
    <w:p>
      <w:r>
        <w:t>IT: VD_GERICHTE D125.012675 del 24 ottobre 2025</w:t>
      </w:r>
    </w:p>
    <w:p>
      <w:pPr>
        <w:pStyle w:val="Heading2"/>
      </w:pPr>
      <w:r>
        <w:t>Erwägungen</w:t>
      </w:r>
    </w:p>
    <w:p>
      <w:r>
        <w:rPr>
          <w:b/>
        </w:rPr>
        <w:t>E. 4</w:t>
      </w:r>
    </w:p>
    <w:p>
      <w:r>
        <w:t>Le 31 mars 2025, les parents de l’intéressé et sa sœur E.X.________ ont été entendus à l’audience de la Juge de paix du district de Lausanne (ci-après : la juge de paix). E.X.________ a déclaré qu’elle ne faisait pas l’objet de poursuites et qu’elle n’avait pas de casier judiciaire. Les parents ont émis le souhait d’être les représentants thérapeutiques de leur fils. A l’issue de l’audience, la juge de paix a informé les comparants qu’après réception du rapport médical, du casier judiciaire et de l’extrait des poursuites, le dossier serait soumis à la justice de paix qui se prononcerait à huis clos.</w:t>
      </w:r>
    </w:p>
    <w:p>
      <w:r>
        <w:rPr>
          <w:b/>
        </w:rPr>
        <w:t>E. 5</w:t>
      </w:r>
    </w:p>
    <w:p>
      <w:r>
        <w:t>La justice de paix a procédé aux vérifications d’usage s’agissant de l’éventuelle nomination d’E.X.________ en qualité de curatrice, dont un contrôle de solvabilité. Il ressort d’un extrait du registre des poursuites établi le 14 avril 2025 par l’Office des poursuites du district de [...] qu’E.X.________ faisait l’objet de poursuites d’un montant total de 3'725 fr. 45, inscrites</w:t>
      </w:r>
    </w:p>
    <w:p>
      <w:r>
        <w:t>- 5 - depuis août 2024 et février 2025 concernant deux créances d’impôt. Selon la deuxième page de l’extrait, l’une des poursuites (381 fr. 45) avait été payée à l’office. La seconde (3'344 fr.) était en cours, avec la mention « Poursuite introduite ».</w:t>
      </w:r>
    </w:p>
    <w:p>
      <w:r>
        <w:rPr>
          <w:b/>
        </w:rPr>
        <w:t>E. 6</w:t>
      </w:r>
    </w:p>
    <w:p>
      <w:r>
        <w:t>Un rapport médical a été établi le 9 mai 2025 par la Dre [...], psychiatre et psychothérapeute FMH pour enfants et adolescents, à [...]. Elle a relevé qu’en raison de son trouble neurodéveloppemental, l’intéressé était très limité dans son expression orale. Il ne parvenait pas à formuler des phrases, son discours se résumant à des mots isolés ou des phrases simples, souvent répétitives. Il avait également très peu de compréhension du langage écrit et des notions impliquant des nombres ou des ordres de grandeur (temps et argent). La pédopsychiatre a conclu que la personne concernée n’était pas en mesure de gérer ses affaires personnelles, administratives et financières de manière conforme à ses intérêts, ni de prendre des décisions responsables le concernant. Une curatelle apparaissait dès lors nécessaire, selon la médecin, qui estimait par ailleurs judicieux de nommer les parents de D.X.________ comme représentants thérapeutiques du prénommé.</w:t>
      </w:r>
    </w:p>
    <w:p>
      <w:r>
        <w:rPr>
          <w:b/>
        </w:rPr>
        <w:t>E. 7</w:t>
      </w:r>
    </w:p>
    <w:p>
      <w:r>
        <w:t>Sous pièce n° 11, les recourants ont produit un extrait actualisé au 17 septembre 2025 du registre des poursuites concernant E.X.________. Sur ce document, il est indiqué que l’extrait comporte deux pages, mais seule la première a été produite en recours. Selon cette page, le montant total des poursuites dont E.X.________ fait l’objet s’élève à 3'725 fr. 45. En d roit : 1. 1.1 Le recours est dirigé contre une décision de la justice de paix désignant une responsable de mandats de protection du SCTP en qualité de curatrice de la personne concernée.</w:t>
      </w:r>
    </w:p>
    <w:p>
      <w:r>
        <w:t>- 6 - 1.2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w:t>
      </w:r>
    </w:p>
    <w:p>
      <w:r>
        <w:t>- 7 -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1.3 Motivé et interjeté en temps utile par les parents et la sœur de la personne concernée, à qui la qualité de proches doit être reconnue, le recours est recevable. Il en va de même des pièces produites en deuxième instance. Le recours étant manifestement infondé, comme cela sera développé ci-après, il a été renoncé à consulter l’autorité de protection.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w:t>
      </w:r>
    </w:p>
    <w:p>
      <w:r>
        <w:t>- 8 - personnellement, à moins que l’audition personnelle ne paraisse disproportionnée (art. 447 al. 1 CC). 2.3 Les parents de la personne concernée et sa sœur ont été entendus à l’audience de la juge de paix du 31 mars 2025. Informés qu’une audience de la justice de paix se tiendrait prochainement à huis clos pour la prise de décision, les comparants ne s’y sont pas opposés. La personne concernée n’a pas été entendue, ce qui est admissible au vu de son trouble, lequel implique notamment de très grandes difficultés de communication. Le droit d’être entendu de chacun doit ainsi être considéré comme respecté. La décision étant formellement correcte, elle peut être examinée sur le fond. 3. 3.1 Les recourants demandent à ce qu’E.X.________ soit nommée en qualité de curatrice de la personne concernée. Ils expliquent que cette dernière est de facto déjà active dans la garde de sa sœur cadette [...], percevant même pour cela un salaire qui lui est versé par le SCTP, sur la base de prestations complémentaires de l’AI versées en faveur de ladite sœur, qu’elle bénéficie ainsi de compétences reconnues, qu’elle suit un apprentissage de commerce, qu’elle a désormais réglé les deux poursuites la concernant et qu’elle remplirait sa mission gracieusement.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w:t>
      </w:r>
    </w:p>
    <w:p>
      <w:r>
        <w:t>- 9 -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5A_706/2017 du 12 février 2018 consid. 6.2 ; 5A_904/2014 du 17 mars 2015 consid. 2.1 et les références citées). Indépendamment de la disponibilité du curateur (Reusser, BSK ZGB I,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ce qui suppose d’être capable de saisir les multiples facettes des problèmes de la personne concernée, d’une compétence méthodologique, à savoir une capacité à trouver des solutions, d’une compétence sociale, c’est-à-dire de pouvoir travailler en réseau, et de compétences personnelles, à savoir d’être capable de s’investir pour la personne concernée (Häfeli, Commentaire du droit de la famille [ci-après : CommFam], Protection de l’adulte, Berne 2013, nn. 12 à 16 ad art. 400 CC, pp. 510 et 511). 3.2.2 En vertu de l'art. 401 al. 2 CC, l'autorité de protection de l'adulte prend autant que possible en considération les souhaits des membres de la famille ou d'autres proches (al. 2), en particulier si l’intéressé n’a pas fait de proposition ou n’est pas en mesure de se</w:t>
      </w:r>
    </w:p>
    <w:p>
      <w:r>
        <w:t>- 10 - prononcer sur l’identité du curateur. Toutefois, l'autorité n'est pas liée par la proposition de ces personnes et les souhaits des parents ou d'autres proches ne sont pris en considération que dans la mesure du possible (Häfeli, CommFam, op. cit., n. 2 ad art. 401 CC, p. 519 ; Meier, op. cit., nn. 962 et 963, pp. 505 ss et les références citées). Le proche n’a ainsi pas de véritable droit à ce que son choix soit respecté, l’autorité de protection jouissant dans ce cadre d’une grande liberté d’appréciation (Fountoulakis, in Pichonnaz/Foëx/Fountoulakis [éd.], Commentaire romand, Code civil I, Art. 1-456 CC, 2e éd., Bâle 2024 [ci-après : CR CC I], n. 13 ad art. 401 CC, p. 2870). L’autorité de protection de l’adulte doit en outre veiller à ce qu’il n’y ait pas de conflit d’intérêts entre la personne à protéger et celle qui est pressentie comme curateur (ATF 140 III 1 consid. 4.2 ; TF 5A_755 /2019 du 12 décembre 2019 consid. 3.2.1 ; 5A_345/2015 du 3 juin 2015 consid. 3.1 ; Reusser, BSK ZGB I, op. cit., n. 14 ad art. 401 CC, p. 2524 ; Häfeli, CommFam, op. cit., n. 2 ad art. 401 CC, p. 519). L'autorité de protection est tenue de vérifier d'office la réalisation de cette condition, devoir qui incombe aussi à la juridiction de recours (TF 5A_755/2019 précité consid. 3.2.1 ; 5A_345/2015 précité consid. 3.1). Ce point doit être analysé de façon particulièrement consciencieuse lorsque l’autorité envisage de nommer un membre ou un proche de la famille (Fountoulakis, CR CC I, op. cit., n. 10 ad art. 400 CC, p. 2862). Il y a conflit d’intérêts entre le curateur et la personne concernée lorsque ceux-ci ne sont plus parallèles et qu’il existe un risque abstrait que le représentant légal fasse passer ses intérêts avant ceux de la personne sous curatelle (Fountoulakis, CR CC I, op. cit., n. 10 ad art. 403 CC, p. 2879 ; Meier, op. cit., n. 976, p. 512 et les références citées ; Steinauer/Fountoulakis, Droit des personnes physiques et de la protection de l'adulte, Berne 2014, n. 1239, p. 550). 3.3 Les premiers juges ont notamment relevé que la sœur de D.X.________ souhaitait assumer le mandat de curatelle, mais qu’elle ne pouvait pas être désignée en qualité de curatrice, compte tenu des poursuites inscrites à son nom en date du 14 avril 2025.</w:t>
      </w:r>
    </w:p>
    <w:p>
      <w:r>
        <w:t>- 11 - Les recourants allèguent que les poursuites d’E.X.________ sont désormais réglées. Ce n’est toutefois pas ce qui ressort du nouvel extrait du registre des poursuites daté du 17 septembre 2025 et produit sous pièce n° 11. Cet extrait, composé de deux pages mais dont seule la première a été produite, indique en effet que le montant total des poursuites au nom d’E.X.________ s’élève à 3'725 fr. 45, comme cela ressortait déjà du précédent extrait du 14 avril 2025, sur lequel la justice de paix s’est fondée. Les recourants échouent ainsi à prouver que les poursuites de la personne proposée comme curatrice auraient été payées dans l’intervalle. Par ailleurs, même réglées ou éteintes, l’inscription de poursuites au nom du curateur pressenti peut constituer un obstacle à sa nomination, puisque le fait que la personne proposée pour se charger du mandat de curatelle se soit retrouvée dans une situation obérée peut faire douter de sa capacité à gérer adéquatement les affaires de la personne protégée. A cet égard, il n’est pas rassurant de constater qu’E.X.________ a affirmé, à l’audience du 31 mars 2025, qu’elle ne faisait pas l’objet de poursuites, alors que deux poursuites étaient déjà inscrites à son nom. De plus, E.X.________ procure déjà des prestations d’assistance personnelle à sa petite sœur, également atteinte d’autisme. Elle perçoit, pour cette activité, des revenus mensuels versés par le SCTP. Il résulte de sa fiche de salaire d’août 2025 qu’elle a consacré 140 heures à ce mandat, ce qui représente plus de 6 heures par jour, sans compter les week-ends. Or, elle suit parallèlement une formation d’employée de commerce, dans le but d’obtenir un CFC, laquelle a lieu dans une école d’un autre canton. Au regard de l’ensemble de ces éléments, il n’est pas suffisamment démontré qu’E.X.________ aurait à la fois le temps et les compétences pour se charger adéquatement de la gestion des affaires de son frère, au sens de l’art. 400 CC. L’appréciation des premiers juges sur ce point ne prête ainsi pas le flanc à la critique, le grief devant dès lors être rejeté. On précisera que la désignation d’une curatrice extérieure à la famille pour ce qui concerne la gestion administrative et financière</w:t>
      </w:r>
    </w:p>
    <w:p>
      <w:r>
        <w:t>- 12 - n’empêche pas les proches de continuer à procurer au quotidien une assistance personnelle et affective à l’intéressé, étant au demeurant rappelé que la représentation thérapeutique a été confiée aux parents de celui-ci. Enfin, au vu des circonstances, il n’y a pas lieu de s’écarter du choix des premiers juges de confier le mandat à un curateur professionnel plutôt qu’à un curateur privé. Pour le surplus, les recourants ne critiquent pas directement la personne désignée comme curatrice, laquelle paraît satisfaire aux exigences de l’art. 400 al. 1 CC. 4. En conclusion, le recours, manifestement infondé, doit être rejeté et la décision entreprise confirmée. Au vu du rejet du recours, la requête d’effet suspensif devient sans objet.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requête d’effet suspensif est sans objet. IV. L'arrêt est rendu sans frais judiciaires de deuxième instance.</w:t>
      </w:r>
    </w:p>
    <w:p>
      <w:r>
        <w:t>- 13 - La vice-présidente : La greffière : Du L'arrêt qui précède, dont la rédaction a été approuvée à huis clos, est notifié à : - Me Olivier Carré (pour A.X.________, B.X.________ et E.X.________), - M. D.X.________, - Mme [...], curatrice, Service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