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D124.056192 vom 2. April 2025</w:t>
      </w:r>
    </w:p>
    <w:p>
      <w:r>
        <w:t>VD Tribunal cantonal, 2025-04-02, FR</w:t>
      </w:r>
    </w:p>
    <w:p>
      <w:r>
        <w:rPr>
          <w:b/>
        </w:rPr>
        <w:t xml:space="preserve">Quelle: </w:t>
      </w:r>
      <w:r>
        <w:t>https://mcp.opencaselaw.ch/entscheid/vd_gerichte_D124.056192</w:t>
      </w:r>
    </w:p>
    <w:p>
      <w:r>
        <w:t>FR: VD_GERICHTE D124.056192 du 2 avril 2025</w:t>
      </w:r>
    </w:p>
    <w:p>
      <w:r>
        <w:t>IT: VD_GERICHTE D124.056192 del 2 aprile 2025</w:t>
      </w:r>
    </w:p>
    <w:p>
      <w:pPr>
        <w:pStyle w:val="Heading2"/>
      </w:pPr>
      <w:r>
        <w:t>Volltext</w:t>
      </w:r>
    </w:p>
    <w:p>
      <w:r>
        <w:t>TRIBUNAL CANTONAL D124.056192-250127 61 CHAMBRE DE S CURATELLE S ___________________________________ Arrêt du 2 avril 2025 ____________________ Composition : Mme CHOLLET, présidente Mme Kühnlein et M. Oulevey, juges Greffier : Mme Rodondi ***** Art. 394 al. 1, 395 al. 1 et 450 CC ; 29 al. 2 Cst. La Chambre des curatelles du Tribunal cantonal prend séance pour statuer sur le recours interjeté par L.________, au [...], contre la décision rendue le 13 décembre 2024 par la Justice de paix du district de Lausanne dans la cause la concernant. Délibérant à huis clos, la Chambre voit : 252</w:t>
      </w:r>
    </w:p>
    <w:p>
      <w:r>
        <w:t>- 2 - En fait : A. Par décision du 13 décembre 2024, adressée pour notification le 31 janvier 2025, la Justice de paix du district de Lausanne (ci-après : la justice de paix ou les premiers juges) a mis fin à l'enquête en institution d'une curatelle ouverte en faveur de L.________ (ci-après : l’intéressée ou la personne concernée) (I), institué une curatelle de représentation et de gestion au sens des art. 394 al. 1 et 395 al. 1 CC (Code civil suisse du 10 décembre 1907 ; RS 210) en faveur de la prénommée (II), nommé P.________, responsable de mandats de protection auprès du Service des curatelles et tutelles professionnelles (ci-après : le SCTP), en qualité de curatrice et dit qu'en cas d'absence de cette dernière, ledit service assurerait son remplacement en attendant son retour ou la désignation d'un nouveau curateur (III), dit que la curatrice aurait pour tâches, dans le cadre de la curatelle de représentation, de représenter L.________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L.________, d’administrer ses biens avec diligence, de la représenter dans ce cadre, notamment à l’égard des établissements financiers, d’accomplir les actes juridiques liés à la gestion et de la représenter, si nécessaire, pour ses besoins ordinaires (IV), invité la curatrice à remettre au juge, dans un délai de huit semaines dès notification de la décision, un inventaire des biens de L.________, accompagné d'un budget annuel et à soumettre des comptes tous les deux ans à l'approbation de l'autorité de céans, avec un rapport sur son activité et sur l'évolution de la situation de l’intéressée (V), autorisé la curatrice à prendre connaissance de la correspondance de L.________, afin qu'elle puisse obtenir des informations sur sa situation financière et administrative et s'enquérir de ses conditions de vie, et, au besoin, à pénétrer dans son logement si elle est sans nouvelles d’elle depuis un certain temps (VI), privé d’effet suspensif tout recours éventuel contre cette décision (VII) et mis les frais, par 300 fr., à la charge de L.________ (VIII).</w:t>
      </w:r>
    </w:p>
    <w:p>
      <w:r>
        <w:t>- 3 - En droit, les premiers juges ont retenu en substance que L.________ souffrait d’un trouble bipolaire, qu’elle avait récemment fait l’objet d’un placement à des fins d’assistance médical en raison d’une décompensation maniaque, que ses troubles l’empêchaient de gérer ses affaires administratives et financières de manière autonome et conforme à ses intérêts, que l'aide fournie par les proches ou des services privés ou publics était insuffisante et que l'institution d'une curatelle de représentation et de gestion paraissait opportune et adaptée à sa situation, dès lors qu’elle couvrait tous les domaines dans lesquels elle avait besoin d’aide. Ils ont estimé que dans la mesure où L.________ résidait en milieu protégé, la curatelle envisagée n’avait pas besoin d’être assortie des restrictions telles que la privation partielle des droits civils et/ou la limitation d’accès aux biens. B. Par acte non daté et remis à la Poste suisse le 5 février 2025 à l’adresse de la justice de paix, L.________ a recouru contre cette décision, sollicitant sa reconsidération. Le 7 février 2025, la Juge de paix du district de Lausanne (ci- après : la juge de paix) a transmis le dossier de la cause à la Chambre des curatelles. C. Selon le procès-verbal des opérations du dossier, le 24 décembre 2024, une enquête a été ouverte d’office sur instruction et le 31 décembre 2024, le greffe de la justice de paix a demandé au SCTP de lui communiquer le nom d’un assistant social susceptible d’être désigné en qualité de curateur. Ne disposant d’aucune pièce, la Chambre déduit de la décision entreprise les éléments de fait suivants :</w:t>
      </w:r>
    </w:p>
    <w:p>
      <w:r>
        <w:t>- 4 - Par décision du 17 novembre 2024, la Dre B.________, médecin de garde aux urgences psychiatriques du CHUV, a ordonné le placement à des fins d’assistance de L.________, née le [...] 1944, à l’Hôpital [...] en raison d’une décompensation maniaque, d’une humeur exaltée, d’une tachypsychie, d’une rupture de traitement, d’une désorganisation du comportement et de comportements de mise en danger. Par acte du 2 décembre 2024, L.________ a fait appel de cette décision, affirmant qu’elle était saine d’esprit et n’avait jamais rencontré la Dre B.________. Par courrier du 10 décembre 2024, la Dre H.________, cheffe de clinique auprès du Service universitaire de psychiatrie de l’âge avancé (SUPAA) du Département de psychiatrie du CHUV, a requis de la juge de paix la prolongation du placement médical à des fins d’assistance de L.________ et l’institution d’une mesure de protection de type curatelle de représentation et de gestion en sa faveur. Elle a exposé que l’intéressée était hospitalisée dans son service depuis le 17 novembre 2024 en raison d’une agitation psychomotrice, d’un comportement désorganisé, d’une désinhibition, d’un discours logorrhéique, passant du coq-à-l’âne, d’idées délirantes de persécution et d’hallucinations acoustico-verbales. Elle a relevé que la thymie était haute et irritable. Elle a signalé qu’à son admission, l’équipe ambulatoire avait rapporté une rupture de traitement. Elle a indiqué que le diagnostic retenu était celui d’une décompensation maniaque dans le contexte d’un trouble bipolaire. Elle a déclaré que l’évolution était marquée par une amélioration de l’agitation et une meilleure organisation du comportement, avec toutefois la persistance des idées délirantes de persécution, des interprétations délirantes de la réalité, des épisodes d’agitation et une anosognosie totale de ses troubles. Elle a maintenu l’indication d’un placement à des fins d’assistance en raison d’un risque de mise en danger pour la patiente et pour autrui, avec comme objectif de poursuivre l’adaptation du traitement médicamenteux et la stabilisation de son état psychique. La doctoresse a mentionné que le projet post-hospitalier était un retour en appartement protégé, où vivait L.________, avec la mise en place d’aides ambulatoires, de type CMS, et un</w:t>
      </w:r>
    </w:p>
    <w:p>
      <w:r>
        <w:t>- 5 - suivi psychiatrique. Elle a observé que pendant les périodes de décompensation, l’intéressée n’était pas capable de gérer ses affaires administratives et financières, expliquant qu’elle avait alors tendance à faire des achats compulsifs et inconsidérés et à donner de l’argent à des personnes de son entourage, des connaissances ou des inconnus, ce qui la rendait susceptible d’être victime d’abus de tiers. Elle a affirmé que les décompensations n’étaient pas prévisibles et qu’il était impossible d’assurer la sécurité financière de la personne concernée pendant ces périodes. Le 11 décembre 2024, la Dre E.________, cheffe de clinique auprès de l’Institut de psychiatrie légale IPL du Département de psychiatrie du CHUV, a établi un rapport d’expertise psychiatrique concernant L.________. Elle a indiqué que lors de son évaluation, l’intéressée présentait un tableau clinique qui se caractérisait notamment par une méfiance et des idées de persécution envers l’équipe soignante. Elle a relevé que la patiente était anosognosique, soutenant qu’elle ne présentait pas de troubles psychiques et n’avait pas besoin d’un traitement médicamenteux psychotrope. Elle a précisé que l’état de santé psychique de L.________ n’était pas encore stabilisé et que des soins psychiatriques en milieu hospitalier étaient encore nécessaires. Elle a souligné qu’en raison de son anosognosie, le risque que l’intéressée interrompe son traitement paraissait important, ce qui était susceptible d’entrainer une péjoration encore plus importante de son état de santé psychique, avec notamment une aggravation de la méfiance, des idées délirantes de persécution et de la symptomatologie thymique, ainsi que des troubles du comportement de nature imprévisible, incluant des comportements de mise en danger. Le 12 décembre 2024, la juge de paix a procédé à l’audition de L.________ et de G.________, assistante sociale au CHUV. L.________ a déclaré qu’elle allait plutôt bien à l’hôpital, prenait régulièrement ses médicaments et était contente de pouvoir retourner prochainement à domicile. Elle a retiré son appel séance tenante. Elle s’est fermement opposée à l’institution d’une curatelle en sa faveur. G.________ a pour sa</w:t>
      </w:r>
    </w:p>
    <w:p>
      <w:r>
        <w:t>- 6 - part indiqué qu’un colloque multidisciplinaire avait eu lieu le matin même, dont il ressortait que la patiente était compliante à sa médication et que son humeur s’était améliorée. Elle a informé que les médecins avaient prévu une sortie de l’hôpital de l’intéressée le 19 décembre 2024 pour un retour dans son appartement protégé avec un suivi de l’infirmière en santé mentale et d’une assistante sociale du CHUV jusqu’à la désignation d’un curateur. Elle a mentionné que L.________ partait en voyage à [...] du 23 au 30 décembre 2024 en accord avec ses médecins. Elle a relevé que la prénommée était très généreuse, notamment dans ses phases maniaques, et disposait d’une fortune et d’un revenu relativement importants, qu’il convenait de protéger. Par décision du même jour, la juge de paix a pris acte du retrait de l’appel déposé le 2 décembre 2024 par L.________ contre la décision de placement médical à des fins d’assistance du 17 novembre 2024. En d roit : 1. 1.1 Le recours est dirigé contre une décision de la justice de paix instituant une curatelle de représentation et de gestion au sens des art. 394 al. 1 et 395 al. 1 CC en faveur de la recourante.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w:t>
      </w:r>
    </w:p>
    <w:p>
      <w:r>
        <w:t>- 7 -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w:t>
      </w:r>
    </w:p>
    <w:p>
      <w:r>
        <w:t>- 8 -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1.3 Motivé et interjeté en temps utile par la personne concernée, le présent recours est recevable. 2. 2.1 2.1.1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2.1.2 Consacré à l’art. 29 al. 2 Cst. (Constitution fédérale de la Confédération suisse du 18 avril 1999 ; RS 101), le droit d'être entendu est</w:t>
      </w:r>
    </w:p>
    <w:p>
      <w:r>
        <w:t>- 9 - une garantie constitutionnelle de nature formelle, dont la violation entraîne l'annulation de la décision attaquée sans égard aux chances de succès du recours sur le fond (ATF 142 II 218 consid. 2.8.1 ; ATF 141 V 495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sujet, de fournir des preuves quant aux faits de nature à influer sur le sort de la décision,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que cela soit ou non concrètement susceptible d'influer sur le jugement à rendre (CCUR 22 décembre 2023/259). La jurisprudence a également déduit du droit d'être entendu l'obligation pour le juge de motiver sa décision afin que le destinataire puisse la comprendre, l'attaquer utilement s'il y a lieu et que l'autorité de recours puisse exercer son contrôle. L'autorité n'a toutefois pas</w:t>
      </w:r>
    </w:p>
    <w:p>
      <w:r>
        <w:t>- 10 - l'obligation d'exposer et de discuter tous les faits, moyens de preuve et griefs invoqués par les parties, mais elle peut au contraire se limiter à ceux qui, sans arbitraire, lui paraissent pertinents (ATF 143 II 65 consid. 5.2 ; ATF 142 II 154 consid. 4.2 ; ATF 138 I 232 consid. 5.1).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III440 ; TF 5A_887/2017 du 16 février 2018 consid. 6.1). 2.2 En l’espèce, le chiffre I du dispositif de la décision attaquée indique que la justice de paix a mis fin à l’enquête en institution d’une curatelle ouverte en faveur de la recourante. Or, il n’y a pas eu d’ouverture d’enquête avant cette décision, mais uniquement un signalement de la Dre H.________ le 10 décembre 2024. Le procès-verbal des opérations du dossier ne mentionne du reste que le signalement précité et l’institution de la décision jusqu’au 13 décembre 2024. Il fait en revanche état de l’ouverture d’une enquête d’office sur instruction ultérieurement, soit le 24 décembre 2024. Toutefois, dans la mesure où aucune investigation n’a été menée jusqu’à cette date dans les faits, il s’agit d’une simple formalité afin de pouvoir solliciter du SCTP le nom d’un assistant social susceptible d’être désigné en qualité de curateur, ce qui a d’ailleurs été fait le 31 décembre 2024. La recourante a été entendue par la juge de paix le 12 décembre 2024, soit seulement deux jours après le signalement de la Dre H.________. Il est dès lors fort probable qu’elle a été citée à comparaître à cette audience dans le cadre de son appel contre la décision de placement médical à des fins d’assistance du 17 novembre 2024 et non pas relativement au signalement du 10 décembre 2024. L.________ a certes eu l’occasion de s’exprimer sur l’instauration d’une curatelle en sa faveur lors</w:t>
      </w:r>
    </w:p>
    <w:p>
      <w:r>
        <w:t>- 11 - de cette audition. Il n’en demeure pas moins que l’autorité de protection aurait dû formellement ouvrir une enquête en institution d’une telle mesure en parallèle à la procédure en placement à des fins d’assistance, procéder à une instruction et entendre la recourante dans ce cadre-là. Or, tel n’a pas été le cas. Dans son acte de recours, l’intéressée demande du reste à la justice de paix d’élargir son enquête à sa vie hors de l’hôpital, lui reprochant de ne pas avoir pris en compte le fait que même en période de crise, elle a toujours fait ses paiements et géré sa fortune avec discernement et que lorsqu’elle en a eu besoin, elle a demandé de l’aide à des proches ou à des soignants. En procédant de la sorte, la justice de paix a ainsi violé le droit d’être entendu de la recourante. Il s’agit d’un vice grave qui ne saurait être réparé en procédure de recours, même compte tenu du libre pouvoir d’examen de la Chambre de céans. La décision entreprise doit par conséquent être annulée et la cause renvoyée à l’autorité de première instance pour instruction et nouvelle décision dans le sens des considérants. Cette enquête est d’autant plus nécessaire que l’on peut se poser la question de l’utilité de la mesure instituée. En effet, dans son signalement du 10 décembre 2024, la Dre H.________ relève que lors des périodes de décompensation, la recourante a tendance à faire des achats compulsifs et inconsidérés et à donner de l’argent à des personnes de son entourage, des connaissances ou des inconnus et qu’elle est ainsi susceptible d’être victime d’abus de tiers. Ce sont donc les comportements impulsifs de L.________ qui sont à craindre pendant ses phases de crise. Or, sans restriction des droits civils, la curatelle combinée ne sert à rien à cet égard. A noter encore que rien au dossier n’indique que la personne concernée rencontre des problèmes de gestion courante. 3. En conclusion, le recours doit être admis et la décision entreprise annulée, la cause étant renvoyée à la justice de paix pour instruction et nouvelle décision dans le sens des considérants.</w:t>
      </w:r>
    </w:p>
    <w:p>
      <w:r>
        <w:t>- 12 - Le présent arrêt peut être rendu sans frais judiciaires (art. 74a al. 4 TFJC [Tarif du 28 septembre 2010 des frais judiciaires civils ; BLV 270.1 1 .5]). L’avance de frais de 300 fr. effectuée par la recourante doit ainsi lui être restituée. Par ces motifs, la Chambre des curatelles du Tribunal cantonal, statuant à huis clos, prononce : I. Le recours est admis. II. La décision est annulée. III. La cause est renvoyée à la Justice de paix du district de Lausanne pour instruction et nouvelle décision dans le sens des considérants. IV. L'arrêt est rendu sans frais judiciaires de deuxième instance, l’avance effectuée par la recourante L.________, par 300 fr. (trois cents francs), lui étant restituée. La présidente : La greffière : Du</w:t>
      </w:r>
    </w:p>
    <w:p>
      <w:r>
        <w:t>- 13 - L'arrêt qui précède, dont la rédaction a été approuvée à huis clos, est notifié à : - Mme L.________, - Service des curatelles et tutelles professionnelles, à l’att. de Mme P.________, - CHUV, Service universitaire de psychiatrie de l’âge avancé, à l’att. de la Dre H.________,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