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D124.019368 vom 6. Januar 2025</w:t>
      </w:r>
    </w:p>
    <w:p>
      <w:r>
        <w:t>VD Tribunal cantonal, 2025-01-06, FR</w:t>
      </w:r>
    </w:p>
    <w:p>
      <w:r>
        <w:rPr>
          <w:b/>
        </w:rPr>
        <w:t xml:space="preserve">Quelle: </w:t>
      </w:r>
      <w:r>
        <w:t>https://mcp.opencaselaw.ch/entscheid/vd_gerichte_D124.019368</w:t>
      </w:r>
    </w:p>
    <w:p>
      <w:r>
        <w:t>FR: VD_GERICHTE D124.019368 du 6 janvier 2025</w:t>
      </w:r>
    </w:p>
    <w:p>
      <w:r>
        <w:t>IT: VD_GERICHTE D124.019368 del 6 gennaio 2025</w:t>
      </w:r>
    </w:p>
    <w:p>
      <w:pPr>
        <w:pStyle w:val="Heading2"/>
      </w:pPr>
      <w:r>
        <w:t>Erwägungen</w:t>
      </w:r>
    </w:p>
    <w:p>
      <w:r>
        <w:rPr>
          <w:b/>
        </w:rPr>
        <w:t>E. 7</w:t>
      </w:r>
    </w:p>
    <w:p>
      <w:r>
        <w:t>Le 1er juillet 2024, A.M.________ a écrit à la juge de paix pour lui indiquer qu’il se sentait encore en bonne santé et estimait n’avoir pas besoin d’une mesure de protection de l’adulte sous la forme d’une curatelle. Il a expliqué qu’avant d’ouvrir son entreprise, il avait pensé à engager une employée de bureau. Il a par ailleurs énuméré ses récents antécédents médicaux, dont sa chute ainsi que l’hospitalisation et le</w:t>
      </w:r>
    </w:p>
    <w:p>
      <w:r>
        <w:t>- 7 - séjour d’un mois en réhabilitation qui s’en étaient suivis, de même qu’un contrôle ultérieur qui avait conclu à sa capacité à conduire. Par courrier du 8 juillet 2024, B.M.________, par son conseil, a fait valoir que les constatations du médecin traitant de son époux semblaient en totale contradiction avec la réalité quotidienne. Elle a produit à cet égard le témoignage de S.________, qui était la fiduciaire de l’entreprise depuis 2010 et l’assistait en outre depuis deux ans et demi dans la tenue de l’entreprise, ainsi que, depuis une année, pour le dépôt, les envois des commandes et quelques livraisons, et qui était depuis lors devenue une amie. Selon cette dernière, A.M.________ ne travaillait plus pour la société depuis 2012, son épouse assumant seule la gestion de l’entreprise au niveau administratif et se chargeant de toutes les démarches de paiements, de suivi et d’assurances. La témoin avait vu l’état physique et mental d’A.M.________ se péjorer au cours des dernières années, avec une amplification des traits de caractère d’entêtement et de comportements peu respectueux à son égard ou envers son épouse. Deux anciens employés administratifs de la société respectivement de 2008 à fin 2023 et de 1996 à 2022, [...] et [...], ont confirmé que B.M.________ s’était chargée seule de la gestion administrative et financière de la société et pour toute démarche d’exploitation de celle-ci impliquant l’informatique ; l’intéressé n'avait pour sa part qu’un contact oral avec les clients lors de visites ou par téléphone. Le témoignage d’une amie de longue date du couple, [...], allait dans le même sens. Tous les témoignages relevaient par ailleurs que l’intéressé avait refusé à plusieurs reprises des propositions de vente de sa société, malgré les demandes répétées de son épouse en ce sens. Dans ses déterminations du 5 août 2024, A.M.________ a affirmé que les déclarations de S.________ étaient mensongères et qu’elle soutenait B.M.________ « pour lui voler la maison », dès lors qu’elles étaient devenues de très bonnes amies. L’intéressé a allégué qu’il avait travaillé jusqu’à fin 2021 pour l’entreprise, à savoir jusqu’à son accident et la réhabilitation qui avait duré jusqu’à la mi-mars 2022, et qu’à partir de cette date, il avait continué une activité de « supervision » et était</w:t>
      </w:r>
    </w:p>
    <w:p>
      <w:r>
        <w:t>- 8 - « employé de maison », donc occupé toute la journée, se chargeant des courses, repas, téléphones et nettoyage de la cuisine ainsi que des cours avec le chien.</w:t>
      </w:r>
    </w:p>
    <w:p>
      <w:r>
        <w:rPr>
          <w:b/>
        </w:rPr>
        <w:t>E. 8</w:t>
      </w:r>
    </w:p>
    <w:p>
      <w:r>
        <w:t>Dans un rapport du 11 septembre 2024, la Dre [...], cheffe de clinique adjointe au Centre de psychogériatrie [...], a expliqué que l’Equipe mobile de psychiatrie (ci-après : EMP) [...] avait vu A.M.________ en consultation à une reprise en septembre 2023, sur demande du précédent médecin traitant, et que, si l’intéressé n’avait initialement pas compris la raison de la visite de l’EMP, il avait fini par accepter l’entretien, avait affirmé que tout allait bien pour lui et qu’il comprenait les plaintes de son épouse, mais qu’il en avait été ainsi toute leur vie durant, qu’il a décrit au médecin en détail ses activités professionnelles, disant avoir eu beaucoup de plaisir à travailler, que ledit médecin a pu constater un statut calme et collaborant, une tenue hygiéno-vestimentaire sans particularité, un sommeil et un appétit conservés, une concentration légèrement diminuée ainsi qu’un discours légèrement ralenti, informatif avec des réponses parfois à côté, mais n’a relevé aucune mise en danger de l’intéressé à cette date ni de symptôme de la lignée psychotique, angoisse ou fatigabilité, précisant que l’intéressé était euthymique et se projetait dans l’avenir. La médecin de l’EMP a rapporté qu’A.M.________ estimait ne pas présenter de troubles de la mémoire, d’auto- ou d’hétéro-agressivité, se considérait en bonne santé physique et psychique et ne comprenait pas la raison de consulter des médecins, signifiant ainsi clairement aux intervenants de l’EMP qu’il ne souhaitait pas les revoir, et ne les a plus sollicités par la suite. En définitive, la praticienne a indiqué qu’il était difficile d’évaluer la capacité de l’intéressé à gérer ses affaires administratives, financières ou personnelles sur la base de cet unique entretien.</w:t>
      </w:r>
    </w:p>
    <w:p>
      <w:r>
        <w:rPr>
          <w:b/>
        </w:rPr>
        <w:t>E. 9</w:t>
      </w:r>
    </w:p>
    <w:p>
      <w:r>
        <w:t>Dans un courrier adressé le 12 septembre 2024 à la juge de paix, A.M.________ a indiqué qu’il n’avait jamais demandé à son épouse de gérer son entreprise, confirmant toutefois que les témoignages produits par B.M.________ était très corrects, à l’exception de celui de S.________, laquelle aurait,</w:t>
      </w:r>
    </w:p>
    <w:p>
      <w:r>
        <w:t>- 9 - selon lui, présenté un acheteur peu « franc ». Il remerciait par ailleurs son épouse pour son excellente gestion de l’entreprise et l’absence de dettes.</w:t>
      </w:r>
    </w:p>
    <w:p>
      <w:r>
        <w:rPr>
          <w:b/>
        </w:rPr>
        <w:t>E. 10</w:t>
      </w:r>
    </w:p>
    <w:p>
      <w:r>
        <w:t>Le 25 septembre 2024, A.M.________ a informé l’autorité de protection que la société [...] avait cessé ses activités le 31 août 2024 et qu’il n’avait dès lors plus besoin d’une curatelle, précisant qu’il était heureusement en bonne santé et qu’un professionnel pourrait l’aider ou le remplacer au besoin.</w:t>
      </w:r>
    </w:p>
    <w:p>
      <w:r>
        <w:rPr>
          <w:b/>
        </w:rPr>
        <w:t>E. 11</w:t>
      </w:r>
    </w:p>
    <w:p>
      <w:r>
        <w:t>Le 2 octobre 2024, la justice de paix a tenu une audience et procédé à l’audition d’A.M.________ ainsi que de son épouse, assistée de son conseil. A.M.________ a confirmé que sa société avait cessé ses activité à fin août 2024 et que son épouse s’était chargée d’effectuer les démarches nécessaires. Il a précisé que jusqu’à son accident, il s’occupait de démarcher les clients et de représenter la société envers l’extérieur. Il a admis que son épouse gérait les affaires administratives et financières du ménage depuis quarante ans. Il estimait toutefois qu’il pourrait s’en charger en son absence, le cas échéant avec l’aide de l’un de ses amis. Il a précisé qu’il retirait chaque semaine 500 à 700 fr. à la Poste pour les courses. Il estimait par ailleurs que son épouse « complot[ait] » avec l’ex- comptable de la société pour l’évincer de la maison conjugale. Interpellé à plusieurs reprises sur la manière dont il procéderait pour partager la société, A.M.________ a évoqué la conclusion d’un pacte successoral avec son épouse, précisant qu’il ne pourrait pas trouver de solution transactionnelle à ce sujet puisque celle-ci avait toujours tout géré. Il a confirmé son opposition à l’institution d’une curatelle en sa faveur, au motif qu’il avait « voyagé de par le monde sans sa femme et qu’il se débrouillait très bien ». Enfin, l’intéressé a tenu des propos sans lien avec la question posée par l’un des juges assesseurs concernant l’intervention du Centre médico-social (CMS). Pour sa part, B.M.________ a exposé que cela faisait près de quarante ans qu’elle gérait la société de son époux, lequel ne s’était jamais occupé du travail de bureau ; elle s’était par ailleurs rendu compte que celui-ci n’était pas capable d’assumer cette gestion. S’agissant de la</w:t>
      </w:r>
    </w:p>
    <w:p>
      <w:r>
        <w:t>- 10 - cessation des activités de l’entreprise, elle a expliqué que les clients étaient partis à la retraite les uns après les autres et qu’à partir du mois de janvier 2024, elle avait constaté qu’elle parvenait à peine à payer les charges et que, sans représentant, il était impossible de continuer. Elle avait alors effectué elle-même toutes les démarches requises en lien avec l’arrêt de la société, y compris la radiation de celle-ci, que son époux avait accepté de signer. B.M.________ a en outre indiqué que la situation à domicile était très difficile, elle s’inquiétait pour l’état de santé de son mari et sa capacité à gérer ses affaires. Elle ne pouvait avoir aucune discussion avec lui et la vie commune était compliquée. Elle souhaitait « être tranquille », mais pensait que son époux avait besoin de soins et était incapable de se gérer, pas même de faire un paiement. Il ne préparait pas, contrairement à ses dires, les repas, mais se contentait de réchauffer les plats qu’elle cuisinait. Elle lui versait par ailleurs de l’argent pour les dépenses courantes du ménage, relevant que celui-ci ignorait comment se connecter à un compte bancaire, ce que l’intéressé a contesté. B.M.________ a précisé qu’elle envisageait très sérieusement de se séparer de son époux, soulignant que sans elle, il se retrouverait dans une situation difficile, dès lors qu’elle lui faisait à manger et gérait l’intégralité des affaires du couple, dont notamment tous les paiements. Elle a encore fait part de son souhait de pouvoir conserver la maison, dans la mesure du possible, et d’être rétribuée pour le travail qu’elle avait fourni durant toutes ces années. Elle a relevé que la situation de la société n’était pas encore entièrement réglée et que l’intervention d’un curateur serait encore nécessaire dans ce cadre, en particulier en lien avec ses éventuelles revendications et la fin de la liquidation. Par la voix de son conseil, elle a conclu à la mise en œuvre d’une expertise psychiatrique à l’endroit de son époux et à l’institution de toute mesure de protection utile en sa faveur. En d roit : 1.</w:t>
      </w:r>
    </w:p>
    <w:p>
      <w:r>
        <w:t>- 11 - 1.1 Le recours est dirigé contre une ordonnance de mesures provisionnelles de la justice de paix instituant une curatelle de représentation provisoire au sens des art. 394 al. 1 et 445 al. 1 CC. 1.2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n. 42 ad art. 450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- 12 -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1.3 En l’espèce, interpellé sur sa volonté de contester la décision prise à titre provisionnel ou sur son souhait d’informer la juge de paix dans le cadre de la poursuite de l’enquête, l’intéressé a confirmé recourir contre la curatelle de représentation provisoire. Succinctement motivé et interjeté en temps utile, par la personne concernée, partie à la procédure, le recours est recevable. Si le texte est peu lisible, il faut souligner que la langue maternelle du recourant est l’allemand. Le recours étant manifestement infondé, au vu des considérations qui seront développées ci-après, il a été renoncé à consulter l’autorité de protection et les autres parties à la procédure n’ont pas été invitées à se déterminer. 2.</w:t>
      </w:r>
    </w:p>
    <w:p>
      <w:r>
        <w:t>- 13 - 2.1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 2.3 A.M.________ a été entendu par la juge de paix lors de l’audience du 22 mai 2024, puis une nouvelle fois à l’audience de la justice de paix du 2 octobre 2024, de sorte que son droit d’être entendu a été respecté. L’ordonnance entreprise étant formellement correcte, elle peut être examinée sur le fond. 3. 3.1 Le recourant s’oppose à l’institution d’une curatelle en sa faveur au motif qu’une telle mesure serait infondée, faute de besoin de protection. Il s’oppose à la vente de sa maison, affirmant que son épouse est malade et souhaite préparer la séparation afin d’obtenir le logement conjugal. Le recourant fait encore valoir que le signalement contient des informations erronées. 3.2</w:t>
      </w:r>
    </w:p>
    <w:p>
      <w:r>
        <w:t>- 14 - 3.2.1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w:t>
      </w:r>
    </w:p>
    <w:p>
      <w:r>
        <w:t>- 15 -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n. 14 ad art. 390 CC, p. 2419).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respectivement de soucis de représentation juridique (TF 5A_551/2021 du 7 décembre 2021 consid. 4.1.1 ; Meier, Droit de la protection de l’adulte, op. cit., n. 729, p. 403 ; Guide pratique COPMA 2012, op. cit., n. 5.10, p. 138). 3.2.2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w:t>
      </w:r>
    </w:p>
    <w:p>
      <w:r>
        <w:t>- 16 - appropriée (art. 389 al. 2 CC ; ATF 140 III 49 consid. 4.3.1 ; TF 5A_417/2018 du 17 octobre 2019 consid. 4.2.1, in SJ 2019 I 127 ; 5A_844/2017 du 15 mai 2018 consid. 3.1 et les références citées). L’aide proposée peut s’avérer contre-productive ou inappropriée, notamment lorsque le prétendu soutien n’est pas dans l’intérêt de la personne concernée (Biderbost, BSK ZGB I, op. cit.,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n. 2 ad art. 389 CC, p. 2408). 3.2.3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3.2.4 Aux termes de l’art. 445 al. 1 CC, l’autorité de protection prend, d’office ou à la demande d’une personne partie à la procédure, les mesures provisionnelles nécessaires pendant la durée de la procédure.</w:t>
      </w:r>
    </w:p>
    <w:p>
      <w:r>
        <w:t>- 17 -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op. cit.,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(CCUR 4 mars 2021/59 consid. 3.1.4 ; JdT 2005 III 51). 3.3 En l’espèce, A.M.________, âgé de 85 ans et de langue maternelle allemande, est marié depuis un peu plus de soixante ans à B.M.________, avec laquelle il réside dans une maison, dont ils sont propriétaires. L’intéressé est titulaire d’une entreprise individuelle inscrite au registre du commerce depuis 2007. A la fin de l’année 2021, il a fait une chute sur la tête ayant occasionné un traumatisme crânien, à la suite duquel il a été hospitalisé, puis a effectué un séjour de réadaptation en clinique. Le 29 avril 2024, B.M.________ a signalé la situation de son époux à la justice de paix, exposant en particulier que l’état de santé de celui-ci s’était péjoré depuis sa chute et qu’il refusait de vendre sa société, pour laquelle elle devait, malgré son âge et ses propres difficultés de santé, continuer à travailler afin de subvenir aux besoins du ménage, les revenus du couple se limitant pour le surplus à la rente AVS maximale, le deuxième pilier ayant été investi dans dite société. Il ressort du dossier que l’épouse s’est toujours chargée de la gestion des affaires du couple, mais également des démarches administratives et d’exploitation de la société du recourant, particulièrement celles impliquant l’usage de l’informatique, ce que celui-ci a finalement reconnu au cours de l’enquête. L’intéressé s’était pour sa part occupé de la recherche de clients, se limitant à des</w:t>
      </w:r>
    </w:p>
    <w:p>
      <w:r>
        <w:t>- 18 - contacts oraux ou des rencontres physiques avec ceux-ci. La société du recourant a cessé ses activités à la fin du mois d’août 2024, celui-ci ayant finalement accepté la radiation de celle-ci, les démarches y relatives ayant été effectuées par l’épouse. Cette dernière, qui envisage sérieusement une séparation conjugale, a relevé lors de l’audience du 2 octobre 2024 que le processus de liquidation de la société n’était pas encore terminé, de sorte que l’intervention d’un curateur demeurait d’actualité, ce d’autant qu’elle entendait faire éventuellement valoir ses propres prétentions financières dans le cadre de cette liquidation. Le recourant conteste l’existence d’un besoin de protection. S’agissant de la cause de la curatelle, s’il apparaît certes que le médecin traitant de la personne concernée soutient son patient, il sied de relever qu’il faut traiter cet avis de manière nuancée, en raison du lien thérapeutique qui lie ce médecin au recourant. De plus, si le médecin estimait que l’intéressé était en mesure de gérer son entreprise, il précisait également qu’il n’avait pas connaissance des détails de la gestion de celle-ci. Il ignorait ainsi vraisemblablement que la gestion administrative et financière de la société avait été majoritairement assumée par l’épouse du recourant. Pour le surplus, l’avis des intervenants de l’EMP ne permet pas de se déterminer distinctement sur l’état de santé et singulièrement le discernement de la personne concernée. Cependant, on peut admettre – au stade de la vraisemblance des mesures provisionnelles – l’existence d’un état objectif de faiblesse qui affecte la condition de la personne concernée, compte tenu notamment de ses difficultés objectives à s’exprimer en français, de ses problèmes de santé ensuite d’une chute, ainsi que du fait que la gestion administrative des affaires du couple M.________ – tant professionnelles que privées – a toujours été assumée par l’épouse, laquelle se trouve désormais dans un patent conflit d’intérêts avec le recourant. Les difficultés de celui-ci à gérer les aspects administratifs, du moins pour ce qui concerne l’entreprise individuelle – que ce soit en raison d’une sénilité ou d’une absence de connaissances – est manifeste. Il existe donc une cause de curatelle.</w:t>
      </w:r>
    </w:p>
    <w:p>
      <w:r>
        <w:t>- 19 - Il convient ensuite d’examiner l’existence d’une condition de curatelle (besoin de protection particulier). En l’état, à la lecture de ses écritures peu claires et de son audition confuse tant par la justice de paix que par l’équipe de l’EMP, on distingue une incapacité de l’intéressé d’assurer par lui-même la sauvegarde de ses intérêts, à tout le moins concernant la liquidation de son entreprise individuelle, ou de désigner un représentant pour gérer cet aspect. Or, assurer le bon déroulement de cette liquidation s’avère essentiel pour la suite de la vie de la personne concernée, qui ne travaille plus et doit assurer sa retraite, son deuxième pilier ayant été investi dans la société, s’agissant également d’éviter de mettre en péril la maison du couple. En cas de perte ou de dilapidation de ces valeurs, les difficultés qu’auraient le recourant seraient difficilement réparables et toucheraient ses intérêts tant d’ordre patrimonial que personnel. S’agissant du principe de subsidiarité de la mesure, il faut constater qu’en raison d’un risque de conflit d’intérêts manifeste dans un contexte de probable séparation avec l’épouse, mais également des propres prétentions de celle-ci dans la liquidation de la société, la représentation par le conjoint est désormais exclue dans ce cadre à tout le moins. La désignation d’un représentant externe est donc nécessaire, ce d’autant que la liquidation de la société impliquera encore un certain nombre de démarches, possiblement judiciaires. Dans cette mesure, la nomination d’une curatrice avocate paraît pleinement justifiée. La curatelle étant provisoire, pour la durée de l’enquête, en particulier jusqu’à la reddition de l’expertise psychiatrique, et sa portée étant de surcroît limitée à la représentation du recourant pour ce qui concerne la radiation et la liquidation de son entreprise individuelle, la mesure litigieuse paraît proportionnée, afin d’éviter le risque que dite entreprise soit liquidée à vil prix. Pour le surplus, le recourant n’émet aucune critique à l’encontre de la personne désignée comme curatrice provisoire, laquelle paraît présenter les qualifications requises (art. 400 CC).</w:t>
      </w:r>
    </w:p>
    <w:p>
      <w:r>
        <w:t>- 20 - Au vu de ce qui précède, force est de constater qu’au stade de la vraisemblance, tant la cause que la condition d’une curatelle paraissent réunies. Le grief est ainsi manifestement infondé et la mesure provisoire ordonnée doit dès lors être confirmée. Au demeurant, on rappellera que la situation sera quoi qu’il en soit réexaminée ultérieurement, à la lumière des conclusions de l’expertise à intervenir prochainement. 4. En conclusion, le recours doit être rejeté et l’ordonnance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w:t>
      </w:r>
    </w:p>
    <w:p>
      <w:r>
        <w:t>- 21 - Du L'arrêt qui précède, dont la rédaction a été approuvée à huis clos, est notifié à : - M. A.M.________, - Me V.________, curatrice provisoire, - Me Marc Plumez (pour B.M.________), et communiqué à : - Mme la Juge de paix du district de la Riviera – Pays-d’Enhaut, - Dr [...], expert,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