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D124.004545 vom 7. Mai 2024</w:t>
      </w:r>
    </w:p>
    <w:p>
      <w:r>
        <w:t>VD Tribunal cantonal, 2024-05-07, FR</w:t>
      </w:r>
    </w:p>
    <w:p>
      <w:r>
        <w:rPr>
          <w:b/>
        </w:rPr>
        <w:t xml:space="preserve">Quelle: </w:t>
      </w:r>
      <w:r>
        <w:t>https://mcp.opencaselaw.ch/entscheid/vd_gerichte_D124.004545</w:t>
      </w:r>
    </w:p>
    <w:p>
      <w:r>
        <w:t>FR: VD_GERICHTE D124.004545 du 7 mai 2024</w:t>
      </w:r>
    </w:p>
    <w:p>
      <w:r>
        <w:t>IT: VD_GERICHTE D124.004545 del 7 maggio 2024</w:t>
      </w:r>
    </w:p>
    <w:p>
      <w:pPr>
        <w:pStyle w:val="Heading2"/>
      </w:pPr>
      <w:r>
        <w:t>Erwägungen</w:t>
      </w:r>
    </w:p>
    <w:p>
      <w:r>
        <w:rPr>
          <w:b/>
        </w:rPr>
        <w:t>E. 1</w:t>
      </w:r>
    </w:p>
    <w:p>
      <w:r>
        <w:t>R.________ est né le [...] 1942. Il réside depuis environ deux ans dans un appartement protégé de l’établissement médico-social (ci-après : EMS) [...], à [...].</w:t>
      </w:r>
    </w:p>
    <w:p>
      <w:r>
        <w:rPr>
          <w:b/>
        </w:rPr>
        <w:t>E. 1.1</w:t>
      </w:r>
    </w:p>
    <w:p>
      <w:r>
        <w:t>Le recours est dirigé contre une décision de la justice de paix instituant une curatelle de représentation et de gestion en faveur du recourant, au sens des art. 394 al. 1 et 395 al. 1 CC.</w:t>
      </w:r>
    </w:p>
    <w:p>
      <w:r>
        <w:t>- 5 -</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w:t>
      </w:r>
    </w:p>
    <w:p>
      <w:r>
        <w:t>- 6 -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Motivé et interjeté en temps utile par la personne concernée par la mesure, partie à la procédure, le recours est recevable à la forme. Le recours étant manifestement mal fondé, comme cela sera développé ci-après, il a été renoncé à consulter l’autorité de protection et le curateur n’a pas été invité à se déterminer. 2.</w:t>
      </w:r>
    </w:p>
    <w:p>
      <w:r>
        <w:rPr>
          <w:b/>
        </w:rPr>
        <w:t>E. 2</w:t>
      </w:r>
    </w:p>
    <w:p>
      <w:r>
        <w:t>Le 25 janvier 2024, le Dr [...], médecin généraliste référent de l’EMS susmentionné, a signalé la situation de l’intéressé à la justice de paix. Il a indiqué que R.________ présentait des troubles cognitifs et de l’orientation limitant sa capacité de discernement et ayant pour conséquence qu’il ne témoignait plus d’aucun intérêt pour la gestion de ses affaires personnelles ou financières, le plaçant dans une situation de vulnérabilité qui devrait justifier une mesure de protection, ce d’autant que l’intéressé vivait seul et jouissait d’une certaine fortune.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w:t>
      </w:r>
    </w:p>
    <w:p>
      <w:r>
        <w:t>- 7 - personnellement, à moins que l’audition ne paraisse disproportionnée (art. 447 al. 1 CC).</w:t>
      </w:r>
    </w:p>
    <w:p>
      <w:r>
        <w:rPr>
          <w:b/>
        </w:rPr>
        <w:t>E. 2.2.2</w:t>
      </w:r>
    </w:p>
    <w:p>
      <w:r>
        <w:t>Conformément à la maxime inquisitoire, l’autorité de protection de l’adulte est tenue d’établir les faits d’office (art. 446 al. 1 CC). Elle procède à la recherche et à l’administration des preuves nécessaires. Elle peut charger une tierce personne ou un service d’effectuer une enquête. Si nécessaire, elle ordonne un rapport d’expertise (art. 446 al. 2 CC), en particulier pour déterminer l’existence d’un trouble psychique ou d’une déficience mentale (Meier, Droit de la protection de l’adulte, Droit de la protection de l’adulte, 2e éd., Genève/Zurich 2022, n. 206, p. 109 et n. 727, p. 401). Le Tribunal fédéral a rappelé qu’une expertise médicale s'avère indispensable pour ordonner l'instauration d'une mesure limitant l'exercice des droits civils d'une personne en raison d'un trouble psychique ou d'une déficience mentale, à moins que l'un des membres de l'autorité de protection ne dispose des compétences médicales nécessaires (ATF 140 III 97 consid. 4 ; TF 5A_417/2018 du 17 octobre 2018 consid. 4.3.1 ; TF 5A_617/2014 du 1er décembre 2014 consid. 4.3 ; Meier, op. cit., n. 892, pp 469-470). Lorsque la curatelle envisagée n’a pas d’effet sur l’exercice des droits civils ou ne déploie que des effets limités (restriction très ponctuelle de la capacité civile active par rapport à certains actes déterminés, dans le cadre des art. 394, 395 et 396 CC), l’expertise psychiatrique n’est pas requise (CCUR 23 décembre 2021/267 consid. 2.3.1 ; Meier, op. cit., n. 209, p. 110). Un certificat médical peut ainsi suffire. L’autorité de protection est toutefois soumise à un devoir illimité d’établir les faits, toutes les méthodes d’investigation étant admissibles (cf. art. 168 CPC ; CCUR 3 avril 2023/63 consid. 2.1.2 ; Steck, in Commentaire du droit de la famille [CommFam], Protection de l’adulte, Berne 2013, nn 10 ss ad art. 446 CC, p. 855).</w:t>
      </w:r>
    </w:p>
    <w:p>
      <w:r>
        <w:rPr>
          <w:b/>
        </w:rPr>
        <w:t>E. 2.3</w:t>
      </w:r>
    </w:p>
    <w:p>
      <w:r>
        <w:t>En l’occurrence, le recourant a été entendu par la justice de paix le 20 février 2024 ; son droit d’être entendu a dès lors été respecté.</w:t>
      </w:r>
    </w:p>
    <w:p>
      <w:r>
        <w:t>- 8 - Aucune expertise n’a été mise en œuvre dans cette cause, ce qui n’était pas nécessaire en l’absence de restriction de la capacité civile ou d’accès aux biens de la personne concernée. Pour le surplus, la décision querellée se fonde sur deux attestations médicales, qui comportent des éléments suffisants et actuels sur l’état de santé de l’intéressé pour permettre à la Chambre de céans de statuer sur le bien- fondé de la mesure litigieuse. La décision entreprise est donc formellement correcte, de sorte qu’elle peut être examinée sur le fond. 3.</w:t>
      </w:r>
    </w:p>
    <w:p>
      <w:r>
        <w:rPr>
          <w:b/>
        </w:rPr>
        <w:t>E. 3</w:t>
      </w:r>
    </w:p>
    <w:p>
      <w:r>
        <w:t>Le 19 février 2024, le Dr [...], spécialiste FMH (Fédération des médecins suisses) en neurologie à [...], a transmis à l’autorité de protection une copie de son courrier adressé le 15 février 2024 à la notaire [...], faisant état de velléités de la personne concernée de modifier son testament dans un sens ne plaisant pas à la sœur de l’intéressé, affaire dans laquelle le médecin ne souhaitait pas s’immiscer, mais précisait néanmoins à l’attention de la notaire que l’intéressé présentait un déclin cognitif lié à une démence de type mixte et qu’une mise sous curatelle apparaissait pleinement justifiée.</w:t>
      </w:r>
    </w:p>
    <w:p>
      <w:r>
        <w:rPr>
          <w:b/>
        </w:rPr>
        <w:t>E. 3.1</w:t>
      </w:r>
    </w:p>
    <w:p>
      <w:r>
        <w:t>Le recourant conteste la curatelle instaurée en sa faveur, au motif qu’il bénéficierait déjà depuis trente ans du soutien d’une proche amie et qu’aucun indice ne parlerait en faveur d’une mauvaise gestion. Il se prévaut ainsi d’une violation des principes de subsidiarité et de proportionnalité.</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w:t>
      </w:r>
    </w:p>
    <w:p>
      <w:r>
        <w:t>- 9 -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op. cit.,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BSK ZGB I, op. cit., n. 14 ad art. 390 CC, p. 2419).</w:t>
      </w:r>
    </w:p>
    <w:p>
      <w:r>
        <w:t>- 10 - L’état de faiblesse doit avoir encore pour conséquence l’incapacité, totale ou partielle, de la personne concernée d’assurer elle- même la sauvegarde de ses intérêts ou de désigner un représentant pour gérer ses affaires (besoin de protection), notion correspondant à la condition d’interdiction des art. 369 et 372 aCC. Il doit s’agit d’affaires essentielles pour la personne concernée, de sorte que les difficultés constatées ont pour elle des conséquences importantes. Bien que la loi ne le précise pas, il peut s’agit d’intérêts patrimoniaux et/ou personnels, respectivement de soucis de représentation juridique (TF 5A_551/2021 du</w:t>
      </w:r>
    </w:p>
    <w:p>
      <w:r>
        <w:rPr>
          <w:b/>
        </w:rPr>
        <w:t>E. 3.2.2</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5A_417/2018 du 17 octobre 2019 consid. 4.2.1, in SJ 2019 I 127 ; TF 5A_844/2017 du 15 mai 2018 consid. 3.1 et les références citées). L’aide proposée peut s’avérer contre-productive ou inappropriée, notamment lorsque le prétendu soutien n’est pas dans l’intérêt de la personne concernée (Biderbost, BSK ZGB I, op. cit., n. 6a ad art. 389 CC, p. 2409 ; pour un exemple de curatelle de représentation instituée en raison d’un conflit d’intérêts du proche : TF 5A_221/2021 du 7 décembre 2021, cf. en particulier consid. 5). La désignation d’un représentant neutre peut aussi se révéler nécessaire en cas de relations familiales très tendues, afin de sauvegarder les intérêts de la personne concernée et d’éviter les conflits (TF 5A_546/2020 du 21 juin 2021 consid. 3.5.2 ; Biderbost, BSK ZGB I, op. cit., n. 2 ad art. 389 CC, p. 2408).</w:t>
      </w:r>
    </w:p>
    <w:p>
      <w:r>
        <w:t>- 11 -</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pp. 440-441).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w:t>
      </w:r>
    </w:p>
    <w:p>
      <w:r>
        <w:t>- 12 - l’incapacité de gérer son patrimoine, quelles qu’en soient la composition et l’ampleur (Meier, Droit de la protection de l’adulte, op. cit., nn. 835-836, pp. 447-448 ; ATF 140 III 1 ; TF 5A_417/2018 du précité consid 4.2.2 et les références citées ; TF 5A_192/2018 précité consid. 3.1 et les références citées).</w:t>
      </w:r>
    </w:p>
    <w:p>
      <w:r>
        <w:rPr>
          <w:b/>
        </w:rPr>
        <w:t>E. 3.3</w:t>
      </w:r>
    </w:p>
    <w:p>
      <w:r>
        <w:t>En l’occurrence, le recourant, âgé de 82 ans au moment du recours, est atteint d’une démence de type mixte. Sa situation a été signalée à l’autorité de protection par le médecin référent de l’institution où il réside en janvier 2024, en raison des troubles cognitifs et de l’orientation dont il souffre, lesquels affectent sa capacité de discernement, et compte tenu du désintérêt qu’il démontre à l’égard de la gestion de ses affaires personnelles et financières. Le médecin a estimé qu’une mesure de protection était nécessaire. Le recourant s’est dit irrité lors de son audition par la justice de paix, le 20 février 2024, que l’on remette en cause sa capacité de discernement. Toutefois, dans son recours, il n’en fait plus mention. Il met l’accent sur l’absence d’indices d’une mauvaise gestion et sur l’aide dont il dispose par l’entremise de son ancienne voisine et femme de ménage, A.________. La limitation de la capacité de discernement du recourant est en tout état de cause attestée par le référent de l’EMS, le Dr [...], et corroborée par la lettre du neurologue [...] à la notaire [...], lequel juge également l’institution d’une curatelle nécessaire. On doit ainsi retenir de ces rapports médicaux que les troubles cognitifs dont souffre le recourant l’empêchent de s’intéresser à la gestion de ses affaires. La nécessité d’une assistance pour préserver ses intérêts personnels et financiers est donc avérée, en présence, à tout le moins, d’un état de faiblesse empêchant la sauvegarde de ses propres intérêts. Contrairement à ce que plaide le recourant, le fait qu’il disposerait modérément de sa fortune et qu’il n’y aurait pas d’indice de mauvaise gestion est sujet à discussion, dès lors que l’intéressé déclare lui-même procéder mensuellement à des dons de plusieurs milliers de francs à A.________ et que le désintérêt témoigné à</w:t>
      </w:r>
    </w:p>
    <w:p>
      <w:r>
        <w:t>- 13 - ses affaires personnelles et financières est attesté par son médecin référent, lequel se dit inquiet de sa situation de vulnérabilité. Le principe de proportionnalité dont se prévaut le recourant n’apparaît pas violé par la mesure instituée, laquelle ne restreint pas les droits civils de l’intéressé ni n’empêche celui-ci d’accéder à ses biens. Au surplus, le moyen n’est pas développé. Reste la subsidiarité de la mesure, dont le recourant fait valoir qu’elle impliquerait de renoncer à la curatelle dès lors qu’il bénéficie déjà, de longue date, de l’assistance de A.________. Or, la prénommée n’apparaît pas désintéressée, au contraire, puisqu’elle bénéficie de dons mensuels conséquents de la personne concernée, d’une part, et que, selon l’EMS, elle est régulièrement opposée à l’institution qui prend en charge le recourant, allant jusqu’à solliciter un autre avis neurologique. Cette institution a également constaté qu’elle était présente quotidiennement et manquait de discrétion, étalant la vie du recourant en public, amenant l’institution et les médecins à s’interroger sur ses intentions. D’autre part, le recourant a admis en audience qu’il avait le souhait d’instituer A.________ comme son héritière et avait visiblement entrepris des démarches en ce sens auprès d’un notaire, ce qui n’avait pas plu à la sœur de l’intéressé. L’EMS a également confirmé la survenance d’altercations entre cette dernière et A.________. Dans ces circonstances, le conflit d’intérêts patent et le contexte de tensions avec la sœur du recourant proscrivent de tenir l’aide de A.________ pour suffisante au sens de la doctrine et de la jurisprudence précitées. Au demeurant, il est probable que le soutien procuré par cette personne se révélerait quoi qu’il en soit trop limité, dans la mesure où celle-ci ne dispose d’aucune procuration, alors que l’intéressé a manifestement besoin qu’un représentant puisse agir à sa place et se charger de l’ensemble des affaires, et non pas uniquement de la gestion des factures. Ainsi, la désignation d’un curateur neutre s’avère pleinement fondée. Par conséquent, le grief doit être rejeté.</w:t>
      </w:r>
    </w:p>
    <w:p>
      <w:r>
        <w:t>- 14 - Pour le surplus, le recourant n’émet aucune critique à l’encontre du curateur professionnel désigné, lequel paraît satisfaire aux exigences de l’art. 400 CC. Il résulte de ce qui précède que l’institution d’une curatelle de représentation et de gestion en faveur du recourant, confiée à un curateur tiers, s’avère justifiée et proportionnée, tant la cause que la condition d’une telle mesure étant réunies en l’état. 4. En conclusion, le recours, manifestement infondé, doit être rejeté et la décision entreprise confirmée. L’arrêt peut être rendu sans frais judiciaires de deuxième instance ni allocation de dépens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La présidente : La greffière :</w:t>
      </w:r>
    </w:p>
    <w:p>
      <w:r>
        <w:t>- 15 - Du L'arrêt qui précède, dont la rédaction a été approuvée à huis clos, est notifié à : - M. R.________, - M. T.________, curateur, Service des curatelles et tutelles professionnelles, et communiqué à : - Mme la Juge de paix du district de la Riviera – Pays-d’Enhaut, - Dr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20 février 2024, la justice de paix a procédé à l’audition de l’intéressé, accompagné de [...], responsable clientèle de l’institution [...]. R.________ a fait état du fait qu’il était aidé depuis trente ans dans la gestion de ses affaires par A.________, sa femme de ménage et ancienne voisine. Il précisait que celle-ci n’avait pas de procuration sur ses comptes,</w:t>
      </w:r>
    </w:p>
    <w:p>
      <w:r>
        <w:t>- 4 - mais qu’il avait toute confiance en elle et disposait de ses relevés de comptes. Il avait une fortune de l’ordre de 500'000 ou 600'000 fr., peut- être davantage, et percevait environ 8’000 à 9'000 fr. de rentes AVS et LPP. Il n’avait pas de fortune immobilière et estimait le montant de son loyer à 1'500 fr. par mois. Les factures étaient, à sa demande, traitées par A.________. Il voyait sa sœur, domiciliée à [...], une fois par semaine. Il a confirmé avoir le souhait que A.________ hérite de sa fortune, dès lors que sa sœur disposait déjà d’une fortune personnelle. Le fait que sa capacité de discernement soit mise en doute l’irritait. Il a estimé qu’une curatelle n’était pas nécessaire et s’y est opposé, craignant de ne plus pouvoir effectuer de dépenses pour lui ou A.________, à laquelle il faisait des « cadeaux » de l’ordre de 2'000 à 3'000 fr. par mois. La responsable clientèle au sein de l’institution [...] a déclaré qu’il y avait eu des altercations entre la sœur de la personne concernée et A.________, laquelle manquait de discrétion et étalait la vie du recourant en public. L’institution s’inquiétait, avec les médecins, pour la situation de la personne concernée, constatant que A.________ était présente quotidiennement, amenant l’institution à s’interroger sur ses intentions. Celle-ci n’était par ailleurs jamais d’accord avec l’institution et avait pris l’initiative de consulter un autre neurologue pour avoir un nouvel avis. La cour a informé les comparants de la mesure de curatelle envisagée, ce à quoi le recourant s’est à nouveau opposé. En d roit : 1.</w:t>
      </w:r>
    </w:p>
    <w:p>
      <w:r>
        <w:rPr>
          <w:b/>
        </w:rPr>
        <w:t>E. 7</w:t>
      </w:r>
    </w:p>
    <w:p>
      <w:r>
        <w:t>décembre 2021 consid. 4.1.1 ; Meier, Droit de la protection de l’adulte, op. cit., n. 729, p. 403 ; Guide pratique COPMA 2012, op. cit., n. 5.10, p. 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