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D121.045983 vom 6. März 2023</w:t>
      </w:r>
    </w:p>
    <w:p>
      <w:r>
        <w:t>VD Tribunal cantonal, 2023-03-06, FR</w:t>
      </w:r>
    </w:p>
    <w:p>
      <w:r>
        <w:rPr>
          <w:b/>
        </w:rPr>
        <w:t xml:space="preserve">Quelle: </w:t>
      </w:r>
      <w:r>
        <w:t>https://mcp.opencaselaw.ch/entscheid/vd_gerichte_D121.045983</w:t>
      </w:r>
    </w:p>
    <w:p>
      <w:r>
        <w:t>FR: VD_GERICHTE D121.045983 du 6 mars 2023</w:t>
      </w:r>
    </w:p>
    <w:p>
      <w:r>
        <w:t>IT: VD_GERICHTE D121.045983 del 6 marzo 2023</w:t>
      </w:r>
    </w:p>
    <w:p>
      <w:pPr>
        <w:pStyle w:val="Heading2"/>
      </w:pPr>
      <w:r>
        <w:t>Erwägungen</w:t>
      </w:r>
    </w:p>
    <w:p>
      <w:r>
        <w:rPr>
          <w:b/>
        </w:rPr>
        <w:t>E. 1.1</w:t>
      </w:r>
    </w:p>
    <w:p>
      <w:r>
        <w:t>Le recours est dirigé contre une ordonnance de mesures provisionnelles instituant une curatelle de représentation et de gestion en faveur de de la recourante.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7e éd., Bâle 2022, n. 42 ad art. 450 CC, p. 2940).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450a CC, p. 2943). En matière de protection de l'adulte et de l'enfant, la maxime inquisitoire illimitée est applicable, de sorte que les restrictions posées par l'art. 317 CPC pour l'introduction de</w:t>
      </w:r>
    </w:p>
    <w:p>
      <w:r>
        <w:t>- 16 -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L’autorité de protection doit ainsi pouvoir formuler ses observations dans la procédure, sauf lorsque le recours apparaît manifestement irrecevable ou mal fondé (Meier, Droit de la protection de l’adulte, Art. 360-456 CC, 2e éd. 2022, n. 274 p. 152).</w:t>
      </w:r>
    </w:p>
    <w:p>
      <w:r>
        <w:rPr>
          <w:b/>
        </w:rPr>
        <w:t>E. 1.3</w:t>
      </w:r>
    </w:p>
    <w:p>
      <w:r>
        <w:t>En l'espèce, motivé et interjeté en temps utile par la personne concernée A.Z.________ qui n’apparaît pas prima facie dépourvue de sa capacité de discernement, le présent recours est recevable. Il en va de même des pièces produites en deuxième instance, si tant est qu’elles ne figurent pas déjà au dossier. Compte tenu de l’issue du recours, il n’y avait pas lieu d’inviter la juge de paix à prendre position.</w:t>
      </w:r>
    </w:p>
    <w:p>
      <w:r>
        <w:t>- 17 -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et de l’enfant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w:t>
      </w:r>
    </w:p>
    <w:p>
      <w:r>
        <w:t>- 18 - ATF 136 III 174 consid. 5.1.2 ; CCUR 3 octobre 2018/18 ; CCUR 11 septembre 2019/162).</w:t>
      </w:r>
    </w:p>
    <w:p>
      <w:r>
        <w:rPr>
          <w:b/>
        </w:rPr>
        <w:t>E. 2.2</w:t>
      </w:r>
    </w:p>
    <w:p>
      <w:r>
        <w:t>En l’espèce, la recourante, assistée de son conseil, a été entendue par la justice de paix le 10 novembre 2022. Par conséquent, son droit d’être entendue a été respecté.</w:t>
      </w:r>
    </w:p>
    <w:p>
      <w:r>
        <w:rPr>
          <w:b/>
        </w:rPr>
        <w:t>E. 3.1</w:t>
      </w:r>
    </w:p>
    <w:p>
      <w:r>
        <w:t>La recourante fait valoir qu’elle a la capacité de discernement et qu’elle l’aurait démontré à plusieurs reprises. D’une part, elle a produit des certificats médicaux attestant de sa capacité de discernement. D’autre part, consciente de son âge et de son déficit de mémoire, elle a décidé elle-même de résider dans un établissement médico-social, de déléguer à son gendre ses affaires courantes – tout en étant capable de contrôler sa gestion –, et à des professionnels de l’immobilier ses affaires concernant ses immeubles, puis d’établir un mandat pour cause d’inaptitude pour le jour où elle n’aurait plus la capacité de discernement. Elle estime dès lors qu’aucune cause psychique ne justifierait la mesure de curatelle, n’ayant que de légers troubles de mémoire, et que cette mesure serait disproportionnée, ayant requis l’aide dont elle avait besoin pour gérer ses affaires auprès de son beau-fils et de professionnels. Il convenait ainsi de renoncer à cette mesure injustifiée qui la blessait et la stressait.</w:t>
      </w:r>
    </w:p>
    <w:p>
      <w:r>
        <w:t>- 19 -</w:t>
      </w:r>
    </w:p>
    <w:p>
      <w:r>
        <w:rPr>
          <w:b/>
        </w:rPr>
        <w:t>E. 3.2.1</w:t>
      </w:r>
    </w:p>
    <w:p>
      <w:r>
        <w:t>L’art. 390 al. 1 CC prévoit la réalisation de conditions matérielles pour prononcer une curatelle. Selon cette disposition, l'autorité de protection de l'adulte institue une telle mesure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s.). Par « troubles psychiques », on entend toutes les pathologies mentales reconnues en psychiatrie, soit les psychoses et les psychopathies ayant des causes physiques ou non, ainsi que les démences (Meier, Droit de la protection de l'adulte, op. cit., n. 722, pp. 399 s.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Droit de la protection de l'adulte, op. cit., n. 728 pp. 401 s.).</w:t>
      </w:r>
    </w:p>
    <w:p>
      <w:r>
        <w:t>- 20 -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403 ; Guide pratique COPMA 2012, n. 5.10, p. 138 ;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w:t>
      </w:r>
    </w:p>
    <w:p>
      <w:r>
        <w:t>- 21 -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pp. 440 s.).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s.).</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notamment une curatelle de représentation (Droit de la protection de l’adulte, Guide pratique COPMA 2012, n. 1.184, p. 74). Du fait de leur nature même, les mesures provisionnelles sont en règle générale fondées sur un examen</w:t>
      </w:r>
    </w:p>
    <w:p>
      <w:r>
        <w:t>- 22 -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Droit de la protection de l’adulte, Guide pratique COPMA 2012, n. 1.184, p. 74 ; sur le tout : CCUR 24 juin 2021/145 ; CCUR 17 décembre 2020/239).</w:t>
      </w:r>
    </w:p>
    <w:p>
      <w:r>
        <w:rPr>
          <w:b/>
        </w:rPr>
        <w:t>E. 3.3.1</w:t>
      </w:r>
    </w:p>
    <w:p>
      <w:r>
        <w:t>En l’espèce, au stade des mesures provisionnelles, il est rendu vraisemblable que la recourante a décidé volontairement de séjourner en établissement médico-social au printemps 2019 et qu’elle avait sa capacité de discernement pour déléguer la gestion de ses affaires courantes à son gendre par procuration du 12 avril 2019. D’ailleurs, aucun des enfants n’a contesté de tels agissements à l’époque. Ce n’est qu’en octobre 2021 qu’B.Z.________ aurait constaté l’existence de troubles cognitifs, qu’elle a signalés à l’autorité de protection en faisant part également de sa crainte que, en raison de tels troubles, la recourante ne soit pas capable de contrôler la gestion effectuée par son beau-fils. B.Z.________ a dès lors requis l’institution d’une mesure de curatelle de représentation et de gestion en faveur de sa mère, mesure dont l’examen a également été requis par un deuxième enfant, C.Z.________, le 4 mars 2022. Or, à la suite de l’intervention de deux des quatre enfants de la recourante auprès de l’autorité de protection, celle-ci s’est vue confrontée à des certificats médicaux contradictoires : ceux datés des 9 février, 5 avril et 16 août 2022 attestant que la recourante avait toutes ses facultés cognitives et donc la capacité totale de prendre des décisions et de signer des documents, et celui du 14 mars 2022 attestant du contraire, la recourante présentant des troubles neurocognitifs dégénératifs altérant fortement sa capacité de discernement et ne pouvant donc plus signer un quelconque document et son état ne lui permettant pas d’être entendue. Malgré les explications données par le médecin le 16 mai 2022 au sujet de telles contradictions, et malgré l’avis du notaire dans son courrier du 6 mai 2022, le doute</w:t>
      </w:r>
    </w:p>
    <w:p>
      <w:r>
        <w:t>- 23 - demeurait quant à la capacité de discernement de la recourante. En effet, la justice de paix s’est retrouvée face à une appréciation médicale de la capacité de discernement de la personne concernée ayant fluctué dans un laps de temps restreint, bien que le praticien ayant rédigé les certificats médicaux ait justifié de cette fluctuation. Elle a donc retenu à bon escient, au stade de la vraisemblance, que la capacité de discernement d’A.Z.________ pouvait être altérée, d’autant plus que lors de son audition du 24 juin 2022, la recourante n’avait pas été en mesure de répondre à nombre de questions d’importance quant à son patrimoine, et que son audition subséquente, le 10 novembre 2022, démontrait également que dans la réalité des faits, elle n’avait pas une connaissance claire de ses affaires, alors confiées à son gendre, ni ne paraissait en mesure de contrôler la gestion de ce dernier. Au vu de ces éléments mis en évidence notamment par les auditions de la recourante et du caractère fluctuant de sa capacité de discernement dans le temps, le doute ressenti par la justice de paix quant à la réelle capacité de discernement de l’intéressée et à sa capacité de contrôler la gestion effectuée pour elle par son beau-fils est étayé et fondé. L’existence d’un état de faiblesse est ainsi rendue vraisemblable. Il est aussi rendu vraisemblable, comme l’a constaté à juste titre la justice de paix, que cet éventuel état de faiblesse ne permet pas, ou plus, à la recourante d’apprécier valablement la pertinence des actes de gestion de son beau-fils et de se rendre compte, notamment au vu du conflit familial important entre les enfants dans lequel son gendre est aussi impliqué, que les actes de gestion puissent éventuellement être effectués contrairement à la sauvegarde de ses intérêts. Dans ces circonstances, le besoin d’assistance d’A.Z.________ dans la gestion de ses affaires est vraisemblable du fait de sa capacité de discernement sujette à caution et de son incapacité apparente à superviser la gestion effectuée par son gendre.</w:t>
      </w:r>
    </w:p>
    <w:p>
      <w:r>
        <w:rPr>
          <w:b/>
        </w:rPr>
        <w:t>E. 3.3.2</w:t>
      </w:r>
    </w:p>
    <w:p>
      <w:r>
        <w:t>L’existence d’un état de faiblesse empêchant la recourante de sauvegarder ses intérêts étant rendue vraisemblable, se pose la question</w:t>
      </w:r>
    </w:p>
    <w:p>
      <w:r>
        <w:t>- 24 - de la nécessité d’une mesure de curatelle par opposition au soutien d’un proche, dès lors que la recourante est aidée depuis le printemps 2019 par son gendre dans la gestion de ses affaires courantes et par des professionnels s’agissant de ses immeubles et de ses déclarations d’impôts. En l’occurrence, au vu des tensions familiales importantes constatées au cours des auditions tenues devant l’autorité de protection de l’enfant et compte tenu des intérêts financiers que les quatre enfants peuvent avoir dans la gestion du patrimoine de la recourante, notamment s’agissant du montant et du versement des loyers dus par les enfants à leur mère, le soutien apporté par un membre de la famille, même indirect, paraît inapproprié. D’une part, la gestion d’E.H.________ est contestée par un membre de la fratrie, qui craint qu’il en retire des avantages pour son épouse ou pour lui ; d’autre part, on constate que les déclarations de la recourante par l’intermédiaire de son conseil allant dans le sens d’une gestion correcte du patrimoine de l’intéressée par son gendre peuvent être éventuellement remises en question eu égard aux remarques formulées par le curateur provisoire, après que celui-ci s’est plongé dans les comptes de l’intéressée pour établir le budget annuel 2023 de celle-ci et l’inventaire d’entrée de ses biens. Dès lors, le soutien de la recourante par son beau-fils pour représenter ses intérêts et gérer ses affaires apparaît, en l’état de la procédure et au degré de la vraisemblance, insuffisant. En outre, le conflit d’intérêts potentiel déchire la famille et entretient un état émotionnel délétère pour la personne concernée, ce qui justifie que le besoin d’assistance de celle-ci soit assumé par un tiers externe à la famille.</w:t>
      </w:r>
    </w:p>
    <w:p>
      <w:r>
        <w:rPr>
          <w:b/>
        </w:rPr>
        <w:t>E. 3.3.3</w:t>
      </w:r>
    </w:p>
    <w:p>
      <w:r>
        <w:t>Par conséquent, c’est à juste titre que la justice de paix a institué une mesure de curatelle provisoire en faveur d’A.Z.________ et a désigné un curateur externe à la famille.</w:t>
      </w:r>
    </w:p>
    <w:p>
      <w:r>
        <w:rPr>
          <w:b/>
        </w:rPr>
        <w:t>E. 4</w:t>
      </w:r>
    </w:p>
    <w:p>
      <w:r>
        <w:t>En conclusion, le recours, manifestement infondé, doit être rejeté et la décision entreprise confirmée.</w:t>
      </w:r>
    </w:p>
    <w:p>
      <w:r>
        <w:t>- 25 - Les frais judiciaires de deuxième instance, comprenant l’émolument forfaitaire de décision (400 fr.) et les frais de la décision sur effet suspensif (200 fr.), arrêtés à 600 fr. (art. 74a al. 1 TFJC et 60 TFJC par analogie [tarif des frais judiciaires civils du 28 septembre 2010 ; BLV 270.11.5]), seront mis à la charge de la recourante, qui succombe (art. 106 al. 1 CPC). Dès lors que la recourante succombe, celle-ci versera à B.Z.________, dont le conseil a été invité à se déterminer uniquement sur la requête tendant à la restitution de l’effet suspensif, un montant fixé à 800 fr. à titre de dépens de deuxième instance (art. 95 al. 3 CPC ; art. 3 et 9 TDC [Tarif des dépens en matière civile du 23 novembre 2010 ; BLV 270.11.6]). Par ces motifs, la Chambre des curatelles du Tribunal cantonal, statuant à huis clos, prononce : I. Le recours est rejeté. II. La décision est confirmée. III. Les frais judiciaires de deuxième instance, arrêtés à 600 fr. (six cents francs), sont mis à la charge de la recourante A.Z.________ qui succombe. IV. A.Z.________ versera la somme de 800 fr. (huit cents francs) à B.Z.________ à titre de dépens de deuxième instance.</w:t>
      </w:r>
    </w:p>
    <w:p>
      <w:r>
        <w:t>- 26 - V. L'arrêt est exécutoire. La présidente : La greffière : Du L'arrêt qui précède, dont la rédaction a été approuvée à huis clos, est notifié à : - Me Michel Bettini, av. (pour A.Z.________), - Me Philippe Baudraz, av. (pour B.Z.________, - M. C.Z.________, - M. D.Z.________, - Mme D.Z.H.________, - M. E.H.________, et communiqué à : - la Justice de paix du district Lavaux-Oron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