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D121.023306 vom 1. November 2021</w:t>
      </w:r>
    </w:p>
    <w:p>
      <w:r>
        <w:t>VD Tribunal cantonal, 2021-11-01, FR</w:t>
      </w:r>
    </w:p>
    <w:p>
      <w:r>
        <w:rPr>
          <w:b/>
        </w:rPr>
        <w:t xml:space="preserve">Quelle: </w:t>
      </w:r>
      <w:r>
        <w:t>https://mcp.opencaselaw.ch/entscheid/vd_gerichte_D121.023306</w:t>
      </w:r>
    </w:p>
    <w:p>
      <w:r>
        <w:t>FR: VD_GERICHTE D121.023306 du 1 novembre 2021</w:t>
      </w:r>
    </w:p>
    <w:p>
      <w:r>
        <w:t>IT: VD_GERICHTE D121.023306 del 1 novembre 2021</w:t>
      </w:r>
    </w:p>
    <w:p>
      <w:pPr>
        <w:pStyle w:val="Heading2"/>
      </w:pPr>
      <w:r>
        <w:t>Erwägungen</w:t>
      </w:r>
    </w:p>
    <w:p>
      <w:r>
        <w:rPr>
          <w:b/>
        </w:rPr>
        <w:t>E. 2</w:t>
      </w:r>
    </w:p>
    <w:p>
      <w:r>
        <w:t>A l’audience de la juge de paix du 29 juin 2021, S.________ a confirmé son signalement. Elle a en outre indiqué que D.________ vivait à l’hôtel, mais risquait de perdre la chambre qu’il louait au motif qu’il entretenait de mauvais rapports avec le personnel. Elle estimait en outre que l’intéressé avait besoin de l’aide d’une tierce personne pour gérer les</w:t>
      </w:r>
    </w:p>
    <w:p>
      <w:r>
        <w:t>- 4 - interactions entre les diverses institutions, ce d’autant que le mandat de la FVP prenait fin le 31 juillet 2021.D.________ a quant à lui admis qu’il avait souffert de dépression, de fatigue, de manque d’appétit et de vertiges, raison pour laquelle il avait contacté la DreT.________. Il a encore déclaré qu’il avait changé d’avis et qu’il ne souhaitait plus de curatelle étant à même de gérer son budget et ses correspondances.</w:t>
      </w:r>
    </w:p>
    <w:p>
      <w:r>
        <w:rPr>
          <w:b/>
        </w:rPr>
        <w:t>E. 2.1</w:t>
      </w:r>
    </w:p>
    <w:p>
      <w:r>
        <w:t>La Chambre des curatelles, qui n'est pas tenue par les moyens et les conclusions des parties, examine d'office si la décision n'est pas affectée de vices d'ordre formel. Elle ne doit annuler une décision que s'il</w:t>
      </w:r>
    </w:p>
    <w:p>
      <w:r>
        <w:t>- 7 -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La procédure devant l’autorité de protection est régie par les art. 443 ss CC. Les personnes concernées doivent être entendues personnellement, à moins que leur audition ne paraisse disproportionnée (art. 447 al. 1 CC).</w:t>
      </w:r>
    </w:p>
    <w:p>
      <w:r>
        <w:rPr>
          <w:b/>
        </w:rPr>
        <w:t>E. 2.2</w:t>
      </w:r>
    </w:p>
    <w:p>
      <w:r>
        <w:t>En l’espèce, D.________ a été entendu par la juge de paix le 29 juin 2021, de sorte que son droit d’être entendu a été respecté. 3.</w:t>
      </w:r>
    </w:p>
    <w:p>
      <w:r>
        <w:rPr>
          <w:b/>
        </w:rPr>
        <w:t>E. 3</w:t>
      </w:r>
    </w:p>
    <w:p>
      <w:r>
        <w:t>Dans sa lettre du 5 juillet 2021 adressée à l’autorité de protection, D.________ a indiqué qu’il refusait qu’une curatelle soit prononcée à son endroit.</w:t>
      </w:r>
    </w:p>
    <w:p>
      <w:r>
        <w:rPr>
          <w:b/>
        </w:rPr>
        <w:t>E. 3.1</w:t>
      </w:r>
    </w:p>
    <w:p>
      <w:r>
        <w:t>et les références citées).</w:t>
      </w:r>
    </w:p>
    <w:p>
      <w:r>
        <w:rPr>
          <w:b/>
        </w:rPr>
        <w:t>E. 3.2.1</w:t>
      </w:r>
    </w:p>
    <w:p>
      <w:r>
        <w:t>Selon l’art. 390 al.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w:t>
      </w:r>
    </w:p>
    <w:p>
      <w:r>
        <w:t>- 8 -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L’autorité de protection de l’adulte prend alors les mesures appropriées pour garantir l’assistance et la protection de la personne qui a besoin d’aide (art. 388 al. 1 CC), dans le respect des principes de subsidiarité et de proportionnalité (art. 389 al. 2 CC). Une cause de curatelle (état objectif de faiblesse), ainsi qu'une condition de curatelle (besoin de protection), doivent être réunies pour justifier le prononcé d'une curatelle. C'est l'intensité du besoin qui déterminera l'ampleur exacte de la protection à mettre en place (Meier, Droit de la protection de l’adulte, Genève/Zurich/Bâle 2016, n. 719, p. 366).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 366). Par « troubles psychiques », on entend toutes les pathologies mentales reconnues en psychiatrie, soit les psychoses et les psychopathies ayant des causes physiques ou non, ainsi que les démences (Meier, ibid., n. 722, p. 367 ; Droit de la protection de l’adulte, Guide pratique COPMA 2012, cité : Guide pratique COPMA 2012, n. 5.9, p. 137).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Cette notion résiduelle doit être interprétée restrictivement et utilisée exceptionnellement, en particulier pour les cas extrêmes d'inexpérience, certains handicaps physiques très lourds ou encore des cas graves de</w:t>
      </w:r>
    </w:p>
    <w:p>
      <w:r>
        <w:t>- 9 - mauvaise gestion telle qu'on la définissait à l'art. 370 aCC (une négligence extraordinaire dans l'administration de ses biens, qui trouve sa cause subjective dans la faiblesse de l'intelligence ou de la volonté) (Meier, Commentaire du droit de la famille, Protection de l’adulte, Berne 2013 [ci- après : CommFam], nn. 16 et 17, pp. 387 ss ; TF 5A_417/2018 du 17 octobre 2018, SJ 2019 I p. 127 ; TF 5A_844/2017 du 15 mai 2018 consid. 3.4.1 et les références citées). Cette disposition permet d'apporter à la personne concernée l'aide dont elle a besoin dans des cas où l'état de faiblesse ne peut être attribué de manière claire à une déficience mentale ou à un trouble psychique (Biderbost/Henkel, Basler Kommentar, op. cit., n. 14 ad art. 390 CC, p. 2326). Pour fonder une curatelle, l’état de faiblesse doit avoir entraîné un besoin de protection de la personne concernée, ou autrement dit, une incapacité totale ou partielle de l’intéressé d’assurer lui-même la sauvegarde de ses intérêts ou de désigner un représentant pour gérer ses affaires. Les affaires en cause doivent être essentielles pour la personne à protéger, de sorte que les difficultés qu’elle rencontre doivent avoir, pour elle, des conséquences importantes. Les intérêts touchés peuvent être d’ordre patrimonial ou personnel (TF 5A_417/2018 du 17 octobre 2018 consid. 4.2.1, in SJ 2019 I 127 ; TF 5A_844/2017 du 15 mai 2018 consid.</w:t>
      </w:r>
    </w:p>
    <w:p>
      <w:r>
        <w:rPr>
          <w:b/>
        </w:rPr>
        <w:t>E. 3.2.2.1</w:t>
      </w:r>
    </w:p>
    <w:p>
      <w:r>
        <w:t>Conformément à l’art. 394 CC,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(art. 394 al. 3 CC) et ne peut, de sa propre initiative, retirer ou restreindre les pouvoirs de représentation du curateur, même si elle a conservé l’exercice des droits civils (Meier, CommFam, nn. 15 à 26 ad art. 394 CC, pp. 439 ss, et n. 11 ad art. 395 CC, p. 452 ; Meier, Droit de la protection de l’adulte, op. cit., n. 818, p. 405). Parmi les mesures qui peuvent être prononcées, la curatelle de représentation est celle qui retranscrit le plus directement le leitmotiv du nouveau droit : une protection strictement ciblée sur les besoins de la personne concernée (TF 5A_417/2018 du 17 octobre 2018 consid 4.2.2 ; 5A_336/2018 du 8 juin 2018 consid. 4.1 ; 5A_192/2018 du 30 avril 2018 consid. 3.1 ; 5A_743/2015 du 11 décembre 2015 consid. 4.1 ; Meier, Droit de la protection de l’adulte, op. cit. n. 686, p. 350).</w:t>
      </w:r>
    </w:p>
    <w:p>
      <w:r>
        <w:rPr>
          <w:b/>
        </w:rPr>
        <w:t>E. 3.2.2.2</w:t>
      </w:r>
    </w:p>
    <w:p>
      <w:r>
        <w:t>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w:t>
      </w:r>
    </w:p>
    <w:p>
      <w:r>
        <w:t>- 11 - représentation comprend très généralement la gestion du patrimoine ; il ne s’agit pas d’une curatelle combinée au sens de l’art. 397 CC mais d’une seule et même mesure. En effet, la curatelle de gestion n’est qu’une forme spéciale de curatelle de représentation (Meier, CommFam, n. 3 ad art. 395 CC, p. 450).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op. cit., nn. 813, 833 et 835 ss, pp. 403, 410 et 411 ; ATF 140 III 1 ; TF 5A_417/2018 du 17 octobre 2018 consid 4.2.2 et les références citées ; TF 5A_192/2018 du 30 avril 2018 consid. 3.1 et les références citées).</w:t>
      </w:r>
    </w:p>
    <w:p>
      <w:r>
        <w:rPr>
          <w:b/>
        </w:rPr>
        <w:t>E. 3.2.3</w:t>
      </w:r>
    </w:p>
    <w:p>
      <w:r>
        <w:t>Conformément à l'art. 445 al. 1 CC, l'autorité de protection prend, d'office ou à la demande d'une personne partie à la procédure, les mesures provisionnelles nécessaires pendant la durée de la procédure. Elle peut notamment ordonner une mesure de protection à titre provisoire (Guide pratique COPMA 2017, n. 5.18, p. 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n. 5.20, p. 164 ; sur le tout : CCUR 17 décembre 2020/239 ; CCUR 13 février 2014/30 et les références citées). De surcroît, le juge des mesures provisionnelles statue sur la base des justificatifs immédiatement disponibles (Colombini, Code de procédure civile, Condensé de la jurisprudence fédérale et vaudoise, Lausanne 2018, n. 3.1.1 ad art. 296 CPC et les références citées, p. 903).</w:t>
      </w:r>
    </w:p>
    <w:p>
      <w:r>
        <w:rPr>
          <w:b/>
        </w:rPr>
        <w:t>E. 3.3</w:t>
      </w:r>
    </w:p>
    <w:p>
      <w:r>
        <w:t>En l’espèce, un signalement a été effectué le 26 mai 2021 par S.________, agent de probation, et un rapport médical a été établi le 4 août 2021 par les Drs B.________ et G.________. D’un point de vue</w:t>
      </w:r>
    </w:p>
    <w:p>
      <w:r>
        <w:t>- 12 - somatique, le recourant souffre d’une infection HIV-1 avec traitement (tri- thérapie), qui peut fatiguer son organisme. A cela s’ajoute une problématique de consommation d’alcool, des angoisses, des phases de déprime et d’isolement sociale, de la confusion et parfois un sentiment de persécution. Le suivi à la FVP a pris fin en juillet 2021 et une demande auprès de l’assurance-invalidité est en cours. Le recourant loge à l’hôtel, mais a des soucis avec le personnel de l’établissement de sorte que son lieu de vie ne paraît pas nécessairement assuré. La personne concernée a admis avoir souffert de dépression, avoir été fatiguée, manquer d’appétit et avoir des vertiges ce qui a motivé la consultation de la Dre T.________. Celle-ci a diagnostiqué un trouble dépressif récurrent ainsi qu’un trouble mental et du comportement liés à la consommation d’alcool épisodique. La compliance aux traitements est excellente si bien que l’on doit considérer la capacité de discernement de l’intéressé comme préservée s’agissant de sa situation personnelle et de son état de santé. Par contre, les médecins mettent en avant une incapacité à gérer les affaires administratives en raison d’une limitation des capacités cognitives et d’une fatigue physique et psychique, ce qui doit être admis au stade de la vraisemblance et au vu du dossier. Une mesure plus légère, comme une curatelle d’accompagnement, ne suffirait pas à apporter l’aide dont le recourant a besoin, notamment depuis que la FVP a fini son mandat. Par ailleurs, la mesure instituée, sans restriction des droits civils, permettra à l’intéressé de continuer à entreprendre certaines démarches administratives si c’est son souhait, quand bien même le curateur disposerait des pouvoirs de représentation et de gestion pour l’assister au mieux et au plus proche de ses intérêts. Ainsi la mesure instaurée en urgence et en attendant les résultats de l’expertise à laquelle le recourant ne s’oppose pas, paraît justifiée. 4. En conclusion, le recours formé par D.________ doit être rejeté et l’ordonnance de mesures provisionnelles confirmée.</w:t>
      </w:r>
    </w:p>
    <w:p>
      <w:r>
        <w:t>- 13 - Le présent arrêt peut être rendu sans frais judiciaires (art. 74a al. 4 TFJC [tarif du 28 septembre 2010 des frais judiciaires civils, RSV 270.11.5]). Par ces motifs, la Chambre des curatelles du Tribunal cantonal, statuant à huis clos, prononce : I. Le recours est rejeté. II. L’ordonnance est confirmée. III. L’arrêt est rendu sans frais judiciaires de deuxième instance. IV. L'arrêt est exécutoire. Le président : La greffière : Du L'arrêt qui précède, dont la rédaction a été approuvée à huis clos, est notifié à : - D.________, - [...], curatrice auprès du SCTP,</w:t>
      </w:r>
    </w:p>
    <w:p>
      <w:r>
        <w:t>- 14 - et communiqué à : - Mme la Juge de paix du district de Lausanne, - S.________, assistante de probation auprès de la FVP,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4</w:t>
      </w:r>
    </w:p>
    <w:p>
      <w:r>
        <w:t>Par courrier du 29 juillet 2021, la Dre [...], psychiatre et psychothérapeute à [...], a informé la juge de paix qu’elle avait rencontré D.________ à deux reprises, que celui-ci souffrait d’un trouble dépressif récurrent ainsi que d’un trouble mental et du comportement lié à l’alcool en utilisation épisodique. Elle a précisé que l’intéressé disait ne pas avoir de problèmes à gérer ses finances et ses affaires administratives.</w:t>
      </w:r>
    </w:p>
    <w:p>
      <w:r>
        <w:rPr>
          <w:b/>
        </w:rPr>
        <w:t>E. 5</w:t>
      </w:r>
    </w:p>
    <w:p>
      <w:r>
        <w:t>Dans leur rapport du 4 août 2021, la Drs B.________ et G.________, respectivement cheffe de clinique et médecin assistant à Unisanté, ont exposé que sur le plan somatique, D.________ souffrait d’une infection HIV-1 soignée par tri-thérapie, d’une hypertension artérielle, d’une apnée du sommeil et d’une insuffisance rénale chronique, entrainant un état de fatigue important limitant ses capacités cognitives et physiques. D.________ était en outre atteint d’un syndrome de dépendance à l’alcool avec des épisodes fréquents d’éthylisation aiguë, impliquant des difficultés de concentration et des troubles de la mémoire. Sur le plan psychique, l’intéressé souffrait aussi d’un syndrome dépressif récurrent. Selon les praticiens, D.________ disposait de sa capacité de discernement en lien avec sa situation personnelle et sa santé – la compliance aux traitements étant excellente –, mais n’était en revanche pas capable de gérer ses affaires administratives.</w:t>
      </w:r>
    </w:p>
    <w:p>
      <w:r>
        <w:t>- 5 -</w:t>
      </w:r>
    </w:p>
    <w:p>
      <w:r>
        <w:rPr>
          <w:b/>
        </w:rPr>
        <w:t>E. 6</w:t>
      </w:r>
    </w:p>
    <w:p>
      <w:r>
        <w:t>Par courrier du 9 août 2021, la juge de paix a informé D.________ qu’elle allait mettre en œuvre une expertise psychiatrique à son endroit. En d roit : 1. 1.1 Le recours est dirigé contre une décision de l’autorité de protection instituant une curatelle provisoire de représentation et de gestions au sens des art. 394 al. 1 et 395 al 1 CC en faveur de la personne concernée. 1.2 Le recours de l'art. 450 CC est ouvert à la Chambre des curatelles (art. 8 LVPAE [Loi du 29 mai d'application du droit fédéral de la protection de l'adulte et de l'enfant ; BLV 211.255] et 76 al. 2 LOJV [Loi d'organisation judiciaire du 12 décembre 1979 ; BLV 173.01]) contre toute décision relative aux mesures provisionnelles (Droese/Steck, Basler Kommentar, Zivilgesetzbuch I, 6e éd., Bâle 2018, n. 21 ad art. 450 CC, p. 2817)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Sous peine d’irrecevabilité, le recours doit être dûment motivé et interjeté par écrit (art. 450 al. 3 CC), les exigences de motivation ne devant cependant pas être trop élevées (Droese/Steck, Basler Kommentar, op. cit., n. 42 ad art. 450 CC, p. 2825). L'art. 446 al. 1 CC prévoit que l'autorité de protection établit les faits d'office. Compte tenu du renvoi de l'art. 450f CC aux règles du CPC, l'art. 229 al. 3 CPC est applicable devant cette autorité, de sorte que les faits et moyens de preuve nouveaux sont admis jusqu'aux</w:t>
      </w:r>
    </w:p>
    <w:p>
      <w:r>
        <w:t>- 6 - délibérations. Cela vaut aussi en deuxième instance (Droese/Steck, Basler Kommentar, op. cit., n. 7 ad art. 450a CC, p. 2827, et les auteurs cités ; voir également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Ill 43 ; CCUR 16 avril 2020/74).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20 al. 1 LVPAE et 318 al. 1 let. c ch. 2 CPC). Selon les situations, le recours sera par conséquent de nature réformatoire ou cassatoire (Guide pratique COPMA 2017, n. 5.84, p. 182). 1.3 En l’espèce, motivé et interjeté dans le délai légal par la personne concernée, le recours est recevable. Il en va de même des pièces produites en deuxième instance, si tant est qu’elles ne figurent pas déjà au dossier. Le recours étant manifestement mal fondé, au vu des considérations qui seront développées ci-après, la Chambre des curatelles a renoncé à consulter l’autorité de protection (art. 450d CC).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