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D120.048860 vom 31. März 2022</w:t>
      </w:r>
    </w:p>
    <w:p>
      <w:r>
        <w:t>VD Tribunal cantonal, 2022-03-31, FR</w:t>
      </w:r>
    </w:p>
    <w:p>
      <w:r>
        <w:rPr>
          <w:b/>
        </w:rPr>
        <w:t xml:space="preserve">Quelle: </w:t>
      </w:r>
      <w:r>
        <w:t>https://mcp.opencaselaw.ch/entscheid/vd_gerichte_D120.048860</w:t>
      </w:r>
    </w:p>
    <w:p>
      <w:r>
        <w:t>FR: VD_GERICHTE D120.048860 du 31 mars 2022</w:t>
      </w:r>
    </w:p>
    <w:p>
      <w:r>
        <w:t>IT: VD_GERICHTE D120.048860 del 31 marzo 2022</w:t>
      </w:r>
    </w:p>
    <w:p>
      <w:pPr>
        <w:pStyle w:val="Heading2"/>
      </w:pPr>
      <w:r>
        <w:t>Erwägungen</w:t>
      </w:r>
    </w:p>
    <w:p>
      <w:r>
        <w:rPr>
          <w:b/>
        </w:rPr>
        <w:t>E. 10</w:t>
      </w:r>
    </w:p>
    <w:p>
      <w:r>
        <w:t>décembre 2013 consid. 4.4, non publié in ATF 140 III 49, mais résumé in Revue de la protection des mineurs et des adultes [RMA] 2014, p. 133 ; Meier, CommFam,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2012, n. 5.10, p. 138, nn. 5.23 et 5.25, p. 143 ; Meier, CommFam, nn. 17, 18 et 20 ad art. 393 CC, pp. 428 ss). 3.1.3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w:t>
      </w:r>
    </w:p>
    <w:p>
      <w:r>
        <w:t>- 19 - représentation du curateur, même si elle a conservé l’exercice des droits civils (Meier, CommFam, nn. 15 à 26 ad art. 394 CC, pp. 439 ss, et n. 11 ad art. 395 CC, p. 452 ; Meier, Droit de la protection de l’adulte, op. cit., n. 818, p. 405).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5A_336/2018 du 8 juin 2018 consid. 4.1 ; 5A_192/2018 du 30 avril 2018 consid. 3.1 ; 5A_743/2015 du 11 décembre 2015 consid. 4.1). 3.1.4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403 et 410).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ss, p. 411 ; ATF 140 III 1 ; TF 5A_417/2018 du 17 octobre 2018 consid. 4.2.2 et les références citées ; TF 5A_192/2018 du 30 avril 2018 consid. 3.1 et les références citées). 3.1.5 Une mesure de protection instituée en raison d’un trouble psychique ou d’une déficience mentale doit se fonder sur un rapport d’expertise, à moins que l’un des membres de l’autorité de protection de l’adulte ne dispose des connaissances nécessaires (cf. art 446 al. 2 CC ; ATF 140 III 97). L’établissement d'un rapport d'expertise n'est toutefois</w:t>
      </w:r>
    </w:p>
    <w:p>
      <w:r>
        <w:t>- 20 - pas un préalable nécessaire pour ordonner l'instauration d'une curatelle à tout le moins lorsqu’elle n'emporte pas restriction de l'exercice des droits civils (TF 5A_417/2018 du 17 octobre 2018 consid. 4.3.1 et les références citées). 3.2 En l’espèce, il ressort notamment du rapport d’expertise psychiatrique du 8 octobre 2021 que la recourante présente un trouble délirant persistant et un trouble cognitif léger, étant au surplus relevé que l’intéressée ne conteste pas ces diagnostics dans son recours. Partant, la personne concernée présente des troubles psychiques, de sorte que la condition de la cause de curatelle est réalisée. La contestation de la recourante porte sur sa capacité à gérer ses affaires quotidiennes, en particulier ses affaires administratives et ses factures. Tout d’abord, force est de constater que la personne concernée ne dit mot quant à ses difficultés à solliciter de l’aide médicale, mettant ainsi son état de santé en danger, à faire les démarches concernant une panne de réfrigérateur en 2021, l’intéressée ayant été retrouvée dénutrie et déshydratée, mais également à s’occuper de son logement, qui était décrit comme encombré, telles que retenues par les expertes R.________ et S.________. Ces médecins ont expliqué que les troubles cognitifs débutants de la personne concernée mettaient à mal l’équilibre fragile que la recourante et son frère avaient mis en place et que celle-ci ne semblait ainsi plus capable de résoudre les problèmes qui se présentaient dans le quotidien, en lien avec ses troubles cognitifs et avec ses idées délirantes de type persécutoire. Ces éléments réalisent à l’évidence à eux seuls la condition du besoin de protection, de sorte que l’instauration d’une curatelle est nécessaire. Au surplus, et contrairement à ce que soutient la recourante, l’experte H.________ a considéré que l’institution d’une curatelle en faveur de l’intéressée était nécessaire, tant au niveau de la santé que pour la gestion de ses affaires administratives. Par ailleurs, si les Dres R.________ et S.________ ont certes indiqué que la personne concernée semblait capable de gérer ses affaires administratives et financières, elles ont</w:t>
      </w:r>
    </w:p>
    <w:p>
      <w:r>
        <w:t>- 21 - précisé que l’état psychique perturbait la lecture que l’intéressée faisait de la réalité, ce qui pouvait entraîner un risque que cette dernière prenne des décisions contre ses propres intérêts, et ceci dans tous les domaines de la vie, de sorte qu’une curatelle leur semblait nécessaire afin d’assurer la sauvegarde des intérêts de la recourante notamment du point de vue administratif, étant ajouté que celle-ci semblait alors capable de gérer ses paiements. On comprend ainsi du rapport d’expertise du 8 octobre 2021 que si G.________ semble capable de gérer ses affaires administratives et financières habituelles, cette capacité apparaît être fortement amoindrie face à une situation nouvelle et imprévue. Ainsi, la recourante présente également un besoin de protection à cet égard. On précisera encore qu’une mesure plus légère, telle une curatelle d’accompagnement, est inenvisageable in casu, la recourante ayant en effet clairement formulé son opposition à ce qu’une curatelle soit instituée en sa faveur et estimant être tout à fait capable de gérer ses affaires comme elle l’a toujours fait. Au surplus, les expertes ont indiqué que l’intéressée présentait une anosognosie totale et des difficultés de collaboration avec la personne concernée ont déjà été relevées par l’ancienne curatrice X.________ lors de son audition le 4 mars 2021, par les Dres R.________ et S.________ dans leur rapport d’expertise, ainsi que par le curateur F.________ lors de son audition le 18 janvier 2022. Partant, conformément au principe de proportionnalité, l’institution d’une curatelle de représentation et de gestion doit être confirmée. A toutes fins utiles, il est précisé que l’exercice des droits civils de la recourante n’est en l’état pas limité et que certains domaines d’activités, tel le paiement de factures, pourraient être laissés à sa gestion régulière si celle-ci s’en trouvait capable et si cela s’avérait opportun, dans le but de favoriser son autonomie. 4. 4.1 En conclusion, le recours, manifestement infondé, doit être rejeté et la décision entreprise confirmée.</w:t>
      </w:r>
    </w:p>
    <w:p>
      <w:r>
        <w:t>- 22 - 4.2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La présidente : Le greffier : Du L'arrêt qui précède, dont la rédaction a été approuvée à huis clos, est notifié à : - Mme G.________, - M. F.________, curateur, Service des curatelles et tutelles professionnelles,</w:t>
      </w:r>
    </w:p>
    <w:p>
      <w:r>
        <w:t>- 23 -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