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D115.027350 vom 7. Januar 2016</w:t>
      </w:r>
    </w:p>
    <w:p>
      <w:r>
        <w:t>VD Tribunal cantonal, 2016-01-07, FR</w:t>
      </w:r>
    </w:p>
    <w:p>
      <w:r>
        <w:rPr>
          <w:b/>
        </w:rPr>
        <w:t xml:space="preserve">Quelle: </w:t>
      </w:r>
      <w:r>
        <w:t>https://mcp.opencaselaw.ch/entscheid/vd_gerichte_D115.027350</w:t>
      </w:r>
    </w:p>
    <w:p>
      <w:r>
        <w:t>FR: VD_GERICHTE D115.027350 du 7 janvier 2016</w:t>
      </w:r>
    </w:p>
    <w:p>
      <w:r>
        <w:t>IT: VD_GERICHTE D115.027350 del 7 gennaio 2016</w:t>
      </w:r>
    </w:p>
    <w:p>
      <w:pPr>
        <w:pStyle w:val="Heading2"/>
      </w:pPr>
      <w:r>
        <w:t>Erwägungen</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w:t>
      </w:r>
    </w:p>
    <w:p>
      <w:r>
        <w:rPr>
          <w:b/>
        </w:rPr>
        <w:t>E. 3</w:t>
      </w:r>
    </w:p>
    <w:p>
      <w:r>
        <w:t>La recourante affirme que sa sœur a besoin de plus d’aide qu’elle n’en laisse paraître, à savoir non seulement pour la gestion de ses affaires administratives, mais également pour tenir son ménage, la lessive, les repas etc. Elle déclare ne plus arriver aujourd’hui à assumer tous ces rôles, devenus lourds et compliqués, notamment parce que la personne concernée refuse les aides externes (CMS ; Pro Senectute).</w:t>
      </w:r>
    </w:p>
    <w:p>
      <w:r>
        <w:rPr>
          <w:b/>
        </w:rPr>
        <w:t>E. 3.1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w:t>
      </w:r>
    </w:p>
    <w:p>
      <w:r>
        <w:t>- 6 -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Introduction au nouveau droit de protection de l'adulte, 2011, n. 397, p. 190). La loi prévoit trois causes alternatives, à savoir la déficience mentale, les troubles psychiques ou tout autre état de faiblesse qui affecte la condition de la personne concernée, qui correspondent partiellement à l'ancien droit de la tutelle (Meier/Lukic, op. cit., n. 398, p. 190). Les termes "troubles psychiques"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Protection de l’adulte, Berne 2013, nn. 9 ss ad art. 390 CC, p. 385 ; Meier/Lukic, op. cit., n. 400, p. 19 ; Guide pratique COPMA, n. 5.9, p. 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op. cit., n. 405, p. 193 ; Guide COPMA, n. 5.10, p. 138). A l’art. 389 CC, le législateur soumet toutes les mesures ordonnées par les autorités de protection de l’adulte au respect des</w:t>
      </w:r>
    </w:p>
    <w:p>
      <w:r>
        <w:t>- 7 - principes de subsidiarité et de proportionnalité. Le principe de subsidiarité implique de n’ordonner une mesure de protection que lorsque l’aide que nécessite la personne concernée ne peut pas être suffisamment assurée d’une autre manière, que ce soit par la famille, par d’autres personnes proches ou par des services privés ou publics. Lorsque l’autorité parvient à la conclusion que le soutien apporté à la personne qui a besoin d’aide est insuffisant, elle prend une mesure, qui doit être proportionnée, c’est-à-dire nécessaire et appropriée. Elle doit instituer des « mesures sur mesure », soit celles qui correspondent aux besoins de la personne concernée. Le principe « autant de soutien étatique que nécessaire, aussi peu d’ingérence étatique que possible » est applicable (TF 5A_677/2014 du 27 mars 2015 consid. 4.3.1 ; ATF 140 III 49, JdT 2014 II 331 consid. 4.3.1).</w:t>
      </w:r>
    </w:p>
    <w:p>
      <w:r>
        <w:rPr>
          <w:b/>
        </w:rPr>
        <w:t>E. 3.2</w:t>
      </w:r>
    </w:p>
    <w:p>
      <w:r>
        <w:t>En l’espèce, il ressort du certificat médical du docteur S.________ du 7 septembre 2015 que G.________ rencontre des difficultés dans la gestion de ses affaires administratives et financières. Ce document ne mentionne en revanche pas un besoin d’assistance personnelle de l’intéressée pour la tenue de son ménage ou les repas. A cet égard, il sied de relever qu’en première instance, la recourante n’a nullement fait état des difficultés que rencontrerait sa sœur non seulement sur le plan administratif, mais également en ce qui concerne la tenue de son ménage ou les repas. Elle n’a pas non plus indiqué que cette dernière refuserait l’intervention des services sociaux. On peut certes comprendre que la recourante ne souhaite plus s’investir autant dans la gestion des affaires de sa sœur afin de ne pas avoir une double casquette, comme le relève le docteur S.________. Il n’en demeure pas moins que, s’agissant des affaires administratives simples, G.________ pourrait s’adresser à des organismes privés ou sociaux afin d’obtenir l’aide dont elle a besoin, sa capacité de discernement pour mandater des tiers et les surveiller étant sauvegardée, ce qui n’est pas contesté en recours. En outre, à ce stade, rien n’indique que l’intéressée refuserait effectivement toute autre aide que celle de sa sœur, hormis les allégations de cette dernière en deuxième instance, qui n’en a au demeurant pas fait état devant les premiers juges alors qu’elle en aurait</w:t>
      </w:r>
    </w:p>
    <w:p>
      <w:r>
        <w:t>- 8 - eu l’occasion. La condition de subsidiarité par rapport à l’intervention de services privés ou publics telle que voulue par l’art. 389 CC n’est par conséquent pas réalisée en l’état. Partant, l’institution d’une mesure de curatelle à l’égard de G.________ ne se justifie pas.</w:t>
      </w:r>
    </w:p>
    <w:p>
      <w:r>
        <w:rPr>
          <w:b/>
        </w:rPr>
        <w:t>E. 4</w:t>
      </w:r>
    </w:p>
    <w:p>
      <w:r>
        <w:t>En conclusion, le recours d’A.________ doit être rejeté et la décision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 II. La décision est confirmée. III. L’arrêt est rendu sans frais. IV. L'arrêt motivé est exécutoire. La présidente : La greffière : Du 11 janvier 2016</w:t>
      </w:r>
    </w:p>
    <w:p>
      <w:r>
        <w:t>- 9 - Le dispositif de l'arrêt qui précède est communiqué par écrit aux intéressés. La greffière : Du L'arrêt qui précède, dont la rédaction a été approuvée à huis clos, est notifié à : - Mme A.________, - Mme G.________,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