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D115.010199 vom 21. April 2017</w:t>
      </w:r>
    </w:p>
    <w:p>
      <w:r>
        <w:t>VD Tribunal cantonal, 2017-04-21, FR</w:t>
      </w:r>
    </w:p>
    <w:p>
      <w:r>
        <w:rPr>
          <w:b/>
        </w:rPr>
        <w:t xml:space="preserve">Quelle: </w:t>
      </w:r>
      <w:r>
        <w:t>https://mcp.opencaselaw.ch/entscheid/vd_gerichte_D115.010199</w:t>
      </w:r>
    </w:p>
    <w:p>
      <w:r>
        <w:t>FR: VD_GERICHTE D115.010199 du 21 avril 2017</w:t>
      </w:r>
    </w:p>
    <w:p>
      <w:r>
        <w:t>IT: VD_GERICHTE D115.010199 del 21 aprile 2017</w:t>
      </w:r>
    </w:p>
    <w:p>
      <w:pPr>
        <w:pStyle w:val="Heading2"/>
      </w:pPr>
      <w:r>
        <w:t>Erwägungen</w:t>
      </w:r>
    </w:p>
    <w:p>
      <w:r>
        <w:rPr>
          <w:b/>
        </w:rPr>
        <w:t>E. 1</w:t>
      </w:r>
    </w:p>
    <w:p>
      <w:r>
        <w:t>- 9 -</w:t>
      </w:r>
    </w:p>
    <w:p>
      <w:r>
        <w:rPr>
          <w:b/>
        </w:rPr>
        <w:t>E. 1.1</w:t>
      </w:r>
    </w:p>
    <w:p>
      <w:r>
        <w:t>Le recours est dirigé contre une décision de la justice de paix instituant en faveur de T.________ une curatelle de portée générale au sens de l’art. 398 CC et nommant une curatrice professionnelle.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Art.1-456 ZGB, 5e éd., Bâle 2014, n. 42 ad art. 450 CC, p. 2624).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pour l’introduction des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w:t>
      </w:r>
    </w:p>
    <w:p>
      <w:r>
        <w:t>- 10 - modifier la décision attaquée devant elle. Dans des circonstances exceptionnelles, elle peut aussi l'annuler et renvoyer l'affaire à l'autorité précédente,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l’intéressé lui-même, le présent recours est recevable. L’autorité de protection a été consultée conformément à l’art. 450d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 TF 5A 345/2015 du 3 juin 2015 consid. 3.1). Il peut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(Guide pratique COPMA, n. 6.24, p. 187 ; CCUR 24 juin 2013/166).</w:t>
      </w:r>
    </w:p>
    <w:p>
      <w:r>
        <w:rPr>
          <w:b/>
        </w:rPr>
        <w:t>E. 3.1</w:t>
      </w:r>
    </w:p>
    <w:p>
      <w:r>
        <w:t>Le recourant conteste la curatelle de portée générale instituée à son encontre, faisant valoir qu’elle serait disproportionnée et qu’une curatelle de représentation et de gestion serait suffisante. Le rapport d’expertise ne permettrait pas d’établir qu’il serait incapable de discernement de manière durable et illimitée, de sorte que cette mesure ne pourrait pas être prononcée. Le recourant relève également qu’il fait l’objet d’une mesure institutionnelle au sens de l’art. 59 CP, de sorte qu’il n’aurait pas besoin d’assistance personnelle. Il fait enfin valoir qu’il ne</w:t>
      </w:r>
    </w:p>
    <w:p>
      <w:r>
        <w:t>- 13 - disposerait d’aucune fortune, à l’exception d’un appartement en mains communes au Portugal.</w:t>
      </w:r>
    </w:p>
    <w:p>
      <w:r>
        <w:rPr>
          <w:b/>
        </w:rPr>
        <w:t>E. 3.2.1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Genève/Zurich/Bâle 2016, n. 716-718, pp. 365-366). La loi prévoit ainsi trois causes alternatives, à savoir la déficience mentale, les troubles psychiques ou tout autre état de faiblesse qui affecte la condition de la personne concernée, qui correspondent partiellement à l'ancien droit de la tutelle (Meier, op. cit., n. 720, p. 366). Par « troubles psychiques » on entend toutes les pathologies mentales reconnues en psychiatrie, soit les psychoses et les psychopathies ayant des causes physiques ou non, ainsi que les démences (Meier, op. cit., n. 722, p. 367 ; Guide pratique COPMA,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w:t>
      </w:r>
    </w:p>
    <w:p>
      <w:r>
        <w:t>- 14 -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16- 17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n. 5.10, p. 138).</w:t>
      </w:r>
    </w:p>
    <w:p>
      <w:r>
        <w:rPr>
          <w:b/>
        </w:rPr>
        <w:t>E. 3.2.2</w:t>
      </w:r>
    </w:p>
    <w:p>
      <w:r>
        <w:t>En vertu de l’art. 394 al. 1 CC, une curatelle de représentation peut être instaurée lorsque la personne qui a besoin d’aide ne peut accomplir certains actes et doit de ce fait être représentée. Lorsqu’elle institue une curatelle de représentation, l’autorité doit veiller à déterminer les cercles de tâches qui doivent être confiés au curateur et, pour chacun de ces cercles, si la personne doit être privée de l’exercice de ses droits civils. Si elle est nécessaire, cette limitation doit figurer dans le dispositif de la décision (Meier, CommFam, op. cit., n. 10 ad art. 394 CC, p. 437). La limitation de l’exercice des droits civils constituant une atteinte accrue pour la personne concernée, elle ne doit être imposée que pour des motifs particuliers (Guide pratique COPMA, n. 5.89 ad art. 394 CC, p. 173). Ainsi, le retrait de l’exercice des droits civils s’impose lorsqu’il existe un risque que la personne concernée ne contrecarre les actes du curateur par ses</w:t>
      </w:r>
    </w:p>
    <w:p>
      <w:r>
        <w:t>- 15 - propres actes. Plus exactement, la volonté ou non de collaborer de l’intéressée, respectivement le risque qu’elle agisse elle-même contre ses intérêts (Meier, CommFam, ibid., n. 10 et 11 ad art. 394 CC, p. 437) ou qu’au contraire, elle refuse d’agir (Guide pratique COPMA, op. cit., n. 5.89 ad art. 394 CC, p. 173), est déterminant. Conformément à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Droit de protection de l’adulte, op. cit., n. 833, p. 410).</w:t>
      </w:r>
    </w:p>
    <w:p>
      <w:r>
        <w:rPr>
          <w:b/>
        </w:rPr>
        <w:t>E. 3.2.3</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Meier, Droit de la protection de l’adulte, op. cit., n. 901, p. 434). Destinée à remplacer l'interdiction des art. 369 ss aCC, cette mesure est la plus incisive prévue par le nouveau droit de protection de l'adulte (Meier, ibid., n. 893, p. 431). Pour qu'une curatelle de portée générale soit instituée, les conditions de l'art. 390 CC doivent être réalisées. Conformément au principe de subsidiarité (art. 389 CC), elle n'est prononcée qu'en dernier recours par l'autorité de protection (Meier, ibid., n. 892, pp. 430-431 ; Henkel, op. cit., n. 10 ad art. 398 CC, p. 2225), soit lorsque des mesures plus ciblées sont insuffisantes (Guide pratique COPMA, n. 5.51, p. 155).</w:t>
      </w:r>
    </w:p>
    <w:p>
      <w:r>
        <w:t>- 16 -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n. 5.51, p. 155). Elle n’est dès lors ni une condition ni, à elle seule, un critère suffisant pour le prononcé d’une telle mesure (TF 5A_617/2014 du 1er décembre 2014 consid. 4.4 et réf).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pp. 2225- 2226 ; sur le tout : JdT 2013 III 44). La personne sous curatelle de portée générale est privée, ex lege, de l'exercice des droits civils (art. 398 al. 3 et 17 CC).</w:t>
      </w:r>
    </w:p>
    <w:p>
      <w:r>
        <w:rPr>
          <w:b/>
        </w:rPr>
        <w:t>E. 3.2.4</w:t>
      </w:r>
    </w:p>
    <w:p>
      <w:r>
        <w:t>Selon l’art. 389 CC, l’autorité de protection de l’adulte n’ordonne une mesure que si elle est nécessaire et appropriée. Pour respecter les principes de subsidiarité et de proportionnalité, la mesure de curatelle de portée générale doit avoir l'efficacité recherchée tout en sauvegardant au maximum la sphère de liberté de l'intéressé. Son but est de le protéger contre lui-même et contre l'exploitation par des tiers. Une mesure est disproportionnée si elle est trop radicale ou trop légère pour parvenir à cette fin. Dans l'hypothèse où, compte tenu des conditions légales, plusieurs mesures paraissent propres à atteindre le but visé, il y a lieu de choisir celle qui empiète le moins sur la sphère de liberté de</w:t>
      </w:r>
    </w:p>
    <w:p>
      <w:r>
        <w:t>- 17 - l'intéressé. Le principe de subsidiarité n'implique toutefois pas que les mesures les plus graves ne puissent être ordonnées qu'après l'application, l'épuisement et l'échec des mesures plus légères. La mesure ordonnée doit en tout état de cause être aussi légère que possible et aussi efficace que nécessaire (TF 5A_12/2012 du 20 mars 2012 consid. 3.1 et les références citées; 5A_627/2011 du 16 avril 2012 consid. 3.2; TF 5A 617/2014 du 1er décembre 2014 consid. 4.2).</w:t>
      </w:r>
    </w:p>
    <w:p>
      <w:r>
        <w:rPr>
          <w:b/>
        </w:rPr>
        <w:t>E. 3.3.1</w:t>
      </w:r>
    </w:p>
    <w:p>
      <w:r>
        <w:t>Dans la mesure où le recourant soutient que la curatelle de portée générale présupposerait l'incapacité de discernement de la personne concernée, le grief est infondé, la jurisprudence précitée n'exigeant pas une telle incapacité.</w:t>
      </w:r>
    </w:p>
    <w:p>
      <w:r>
        <w:rPr>
          <w:b/>
        </w:rPr>
        <w:t>E. 3.3.2</w:t>
      </w:r>
    </w:p>
    <w:p>
      <w:r>
        <w:t>Dans son arrêt du 2 novembre 2015 annulant une précédente décision instituant une mesure de curatelle générale à l’encontre du recourant, la Chambre des curatelles avait relevé que même si l’on pouvait admettre qu’une mesure de curatelle, particulièrement de curatelle générale, se révèlerait peut-être nécessaire pour protéger adéquatement les intérêts du recourant, il subsistait un doute sur la nécessité de mettre en place une mesure aussi lourde, de sorte que, faute de disposer d'une expertise psychiatrique portant spécifiquement sur ce point, il n'était pas possible de statuer en l'état sur la mesure proposée. Or, dans leur rapport du 29 septembre 2016, la Dresse [...] et la psychologue [...] ont conclu que l'expertisé souffrait de deux pathologies au long cours (schizophrénie paranoïde en rémission incomplète et retard mental léger) et que si la schizophrénie pouvait être stabilisée à l'aide d'un traitement médicamenteux et psychiatrique adapté, le retard mental était incurable. Elles ont également conclu que la schizophrénie et le retard mental de l'expertisé compromettaient une gestion optimale de ses affaires, que la capacité de se déterminer de l'expertisé était altérée par ses pathologies psychiques, dans le sens où il avait une mauvaise compréhension de son environnement, des enjeux liés à ses affaires administratives et un manque de motivation pour défendre ses intérêts au mieux, et qu'une mesure de curatelle était nécessaire. Retenant dans la</w:t>
      </w:r>
    </w:p>
    <w:p>
      <w:r>
        <w:t>- 18 - discussion que l'état psychique de l'intéressé s'était petit à petit stabilisé lors de son séjour à la prison de la [...] et notant une bonne intégration par la suite au sein de [...], les expertes n‘ont relevé aucun symptôme psychotique floride, l’expertisé étant par ailleurs moins persécuté, plus vigilant, semblant apaisé et son discours étant mieux construit. Elles ont toutefois retenu que l’intéressé avait des difficultés à reconnaître sa maladie et refusait d'aborder des thèmes désagréables, qu’il présentait toujours des symptômes négatifs – tels qu'un émoussement affectif et un ralentissement de la pensée marqué – lesquels engendraient notamment des difficultés de planification et d'exécution dans les tâches administratives, mais influençaient également sa motivation. Retenant enfin que le retard mental de l’expertisé altérait sa capacité à avoir une bonne compréhension de son environnement et de ses enjeux, elles ont estimé que sa capacité à préserver ses affaires et ses intérêts était compromise. Au vu de cette expertise, la cause et la condition d'une mesure sont clairement réalisées, ce qui n'est pas contesté en recours. Force est cependant de constater que cette expertise ne se prononce pas expressément sur le type de curatelle à mettre en place et notamment sur le fait que l’intéressé doit être protégé contre lui-même ou contre l’exploitation des tiers par une mesure le privant de l’exercice des droits civils de manière générale. Les premiers juges se sont fondés sur la relative incohérence des propos tenus par la personne concernée lors de l'audience, sur le fait que l'intéressé contestait tout besoin d'assistance et ne semblait pas pleinement en mesure de coopérer, compte tenu de son anosognosie, ainsi que sur son besoin d'assistance général, pour en déduire que seule une curatelle de portée générale était à même d'apporter la protection dont il avait besoin. S'il est vrai qu'à l'audience l'intéressé a contesté tout besoin de curatelle, cet élément ne permet pas à lui seul de retenir qu'il serait incapable de coopérer et, surtout, que la privation de ses droits civils serait indispensable pour sauvegarder ses intérêts. L'intéressé réside à [...], dans le cadre d'un placement selon l'art. 59 CP, qui lui assure</w:t>
      </w:r>
    </w:p>
    <w:p>
      <w:r>
        <w:t>- 19 - l'assistance personnelle dont il a besoin. Il n'a actuellement aucun revenu, sa rente AI étant suspendue sine die. Il a certes des dettes de l'ordre de 20'000 à 30'000 fr. (il s’agit apparemment de rentes à rembourser) et il est propriétaire en main commune d'un appartement au Portugal. Aucun élément au dossier ne permet en l'état de retenir qu'il serait susceptible de prendre des engagements contraires à ses intérêts, qui nécessiteraient sa privation de l'exercice des droits civils. Dans ce contexte, une curatelle de gestion et représentation paraît suffisante pour sauvegarder ses intérêts et la curatrice aura pour tâches de représenter le recourant dans les rapports avec les tiers, en particulier en matière de logement, affaires sociales, administration et affaires juridiques, et de sauvegarder au mieux ses intérêts (art. 394 al. 1 CC). Dans le cadre de la curatelle de gestion, la curatrice veillera à la gestion des revenus et de la fortune du recourant, administrera ses biens avec diligence, accomplira les actes juridiques liés à la gestion (art. 395 al. 1 CC) et représentera l’intéressé, si nécessaire, pour ses besoins ordinaires (art. 408 al. 2 ch. 3 CC).</w:t>
      </w:r>
    </w:p>
    <w:p>
      <w:r>
        <w:rPr>
          <w:b/>
        </w:rPr>
        <w:t>E. 4.1</w:t>
      </w:r>
    </w:p>
    <w:p>
      <w:r>
        <w:t>Le recourant conteste la nécessité de la désignation d'un curateur professionnel et conclut à ce que sa sœur W.________ soit désignée comme curatrice.</w:t>
      </w:r>
    </w:p>
    <w:p>
      <w:r>
        <w:rPr>
          <w:b/>
        </w:rPr>
        <w:t>E. 4.2.1</w:t>
      </w:r>
    </w:p>
    <w:p>
      <w:r>
        <w:t>Aux termes de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la réalisation de cette condition, devoir qui incombe aussi à l'autorité de recours (TF 5A_904/2014 du 17 mars 2015 consid. 2.1; TF</w:t>
      </w:r>
    </w:p>
    <w:p>
      <w:r>
        <w:t>- 20 - 5A_691/2013 du 14 janvier 2014 consid. 2.3.2 ; TF 5A_345/2015 du 3 juin 2015 consid. 3.1 ). La possibilité pour l'intéressé de proposer la personne du curateur invite l'autorité de protection de l'adulte à accéder au souhait exprimé si la personne proposée remplit les conditions et qu'elle accepte le mandat (art. 401 al. 1 CC ; ATF 140 III 1 consid. 4.1, avec les références ; TF 5A_290/2014 du 14 mai 2014 consid. 3.2.1). Cette règle découle du principe d'autodétermination (Selbstbestimmungsrecht) et tient compte du fait qu'une relation de confiance entre la personne concernée et le curateur, indispensable au succès de la mesure de protection, aura d'autant plus de chance de se nouer que l'intéressé aura pu choisir lui- même son curateur. Toutefois, la loi subordonne expressément la prise en compte de ces souhaits aux aptitudes de la personne choisie (TF 5A_904/2014 précité consid. 2.2; TF 5A_345/2015 du 3 juin 2015 consid. 3.1). Enfin, l'autorité de protection dispose d'un large pouvoir d'appréciation quant aux objections formulées par l'intéressé à la nomination de la personne pressentie; si elle décide de s'écarter du vœu de l'intéressé, elle doit motiver sa décision et exposer les motifs ayant fondé le rejet de la proposition (TF 5A_904/2014 du 14 mai 2014 consid.</w:t>
      </w:r>
    </w:p>
    <w:p>
      <w:r>
        <w:rPr>
          <w:b/>
        </w:rPr>
        <w:t>E. 4.2.2</w:t>
      </w:r>
    </w:p>
    <w:p>
      <w:r>
        <w:t>L'art. 40 LVPAE prévoit une distinction entre les mandats de protection pouvant être confiés à des curateurs ou tuteurs privés (al. 1, cas « simples » « légers ») et ceux pouvant être attribués à l'entité de curateurs et tuteurs professionnels (al. 4, cas « lourds »).</w:t>
      </w:r>
    </w:p>
    <w:p>
      <w:r>
        <w:t>- 21 -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w:t>
      </w:r>
    </w:p>
    <w:p>
      <w:r>
        <w:t>- 22 - vaudoise d'application du droit fédéral de la protection de l'adulte et de l'enfant, novembre 2011, n° 441, p. 109). L'utilisation des termes "en principe" tant à l'alinéa 1 qu'à l'alinéa 4 de l'art. 40 LVPAE témoigne de la volonté du législateur de laisser une marge d'appréciation à l'autorité de protection quant à la distinction entre les cas simples et les cas lourds. A ce qui précède, il y a lieu d’ajouter que le Tribunal fédéral a rappelé qu’en cas de troubles de la personnalité, une curatelle professionnelle pouvait se justifier (TF 5A_699/2013 du 29 novembre 2013 consid. 4.2).</w:t>
      </w:r>
    </w:p>
    <w:p>
      <w:r>
        <w:rPr>
          <w:b/>
        </w:rPr>
        <w:t>E. 4.3</w:t>
      </w:r>
    </w:p>
    <w:p>
      <w:r>
        <w:t>En l'espèce, dans leur expertise psychiatrique du 29 septembre 2016, les expertes ont considéré que, compte tenu de la situation complexe de l'expertisé ainsi que de l'implication émotionnelle qu'engendrerait la nomination d'un membre de la famille comme curateur, il serait plus judicieux que le mandat soit confié à une personne extérieure. Il a été confirmé à l'audience que le recourant et sa sœur, très proches l'un de l'autre, entretenaient une relation fusionnelle. Cela étant, c'est à juste titre que les premiers juges ont considéré qu'en raison de cette relation fusionnelle, la sœur du recourant n'avait pas la distance nécessaire par rapport à la situation et ne pouvait pas prendre les décisions nécessaires à sauvegarder les intérêts de la personne concernée en toute objectivité. Tel est en particulier le cas s’agissant du sort de l'immeuble au Portugal, dont le recourant est copropriétaire avec son ex- épouse avec laquelle il entretient des relations particulièrement conflictuelles, qui ont entraîné sa condamnation pénale, notamment pour menaces qualifiées, à un traitement institutionnel au sens de l'art. 59 CP. Pour le surplus, au vu de la complexité de la situation psychique de l'intéressé, qui souffre de schizophrénie paranoïde en rémission incomplète, ainsi que d'un retard mental léger, la désignation d'un curateur professionnel ne prête pas le flanc à la critique.</w:t>
      </w:r>
    </w:p>
    <w:p>
      <w:r>
        <w:t>- 23 -</w:t>
      </w:r>
    </w:p>
    <w:p>
      <w:r>
        <w:rPr>
          <w:b/>
        </w:rPr>
        <w:t>E. 5</w:t>
      </w:r>
    </w:p>
    <w:p>
      <w:r>
        <w:t>En conclusion, le recours est partiellement admis et la décision est réformée dans le sens qui précède. Le présent arrêt peut être rendu sans frais judiciaires (art. 74a al. 4 TFJC [tarif du 28 septembre 2010 des frais judiciaires civils, RSV 270.11.5]). Dans sa liste d’opérations du 26 avril 2017, Me Olivier Bloch, conseil d’office de T.________, annonce avoir consacré cinq heures et quarante-huit minutes à la procédure de recours et chiffre ses débours à 15 fr.30. Le temps et les montants annoncés peuvent être admis. Partant, au tarif horaire de 180 fr. (art. 2 al. 1 RAJ [règlement du 7 décembre 2010 sur l’assistance judiciaire en matière civile ; RS 211.02.03]), l’indemnité de Me Bloch sera arrêtée à 1'144 fr. en chiffres ronds, soit 1'044 fr. à titre d’honoraires, débours par 15 fr. 30 et TVA sur le tout par 84 fr. 75 en sus. Par ces motifs, la Chambre des curatelles du Tribunal cantonal, statuant à huis clos, prononce : I. Le recours est partiellement admis. II. La décision est réformée aux chiffres II, III et V comme il suit : II. institue une curatelle de représentation et de gestion au sens des art. 394 al. 1 et 395 al. 1 CC en faveur de T.________, né le [...] 1976, divorcé, de nationalité portugaise, domicilié p.a [...]. III. supprimé.</w:t>
      </w:r>
    </w:p>
    <w:p>
      <w:r>
        <w:t>- 24 - V.dit que la curatrice exercera, dans le cadre de la curatelle de représentation, les tâches de représenter T.________ dans les rapports avec les tiers, en particulier en matière de logement, affaires sociales, administration et affaires juridiques, et sauvegarder au mieux ses intérêts (art. 394 al. 1 CC) et, dans le cadre de la curatelle de gestion, de veiller à la gestion des revenus et de la fortune de T.________, administrer les biens avec diligence et accomplir les actes juridiques liés à la gestion (art. 395 al. 1 CC), représenter le prénommé, si nécessaire, pour ses besoins ordinaires (art. 408 al. 2 ch. 3 CC). La décision est confirmée pour le surplus. III. L'indemnité d’office de Me Olivier Bloch, conseil du recourant T.________, est arrêté à 1'144 fr. (mille cent quarante-quatre francs), TVA et débours compris.</w:t>
      </w:r>
    </w:p>
    <w:p>
      <w:r>
        <w:t>- 25 - IV.L'arrêt, rendu sans frais judiciaires de deuxième instance, est exécutoire. La présidente : Le greffier : Du L'arrêt qui précède, dont la rédaction a été approuvée à huis clos, est notifié à : - Me Olivier Bloch (pour T.________), - Office des curatelles et tutelles professionnelles, à l’att. de K.________, et communiqué à : - W.________, - [...], assesseur-surveillant, - M. le Juge de paix des districts du Jura – Nord vaudois et du Gros-de- 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