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D114.012728 vom 2. Juni 2014</w:t>
      </w:r>
    </w:p>
    <w:p>
      <w:r>
        <w:t>VD Tribunal cantonal, 2014-06-02, FR</w:t>
      </w:r>
    </w:p>
    <w:p>
      <w:r>
        <w:rPr>
          <w:b/>
        </w:rPr>
        <w:t xml:space="preserve">Quelle: </w:t>
      </w:r>
      <w:r>
        <w:t>https://mcp.opencaselaw.ch/entscheid/vd_gerichte_D114.012728</w:t>
      </w:r>
    </w:p>
    <w:p>
      <w:r>
        <w:t>FR: VD_GERICHTE D114.012728 du 2 juin 2014</w:t>
      </w:r>
    </w:p>
    <w:p>
      <w:r>
        <w:t>IT: VD_GERICHTE D114.012728 del 2 giugno 2014</w:t>
      </w:r>
    </w:p>
    <w:p>
      <w:pPr>
        <w:pStyle w:val="Heading2"/>
      </w:pPr>
      <w:r>
        <w:t>Erwägungen</w:t>
      </w:r>
    </w:p>
    <w:p>
      <w:r>
        <w:rPr>
          <w:b/>
        </w:rPr>
        <w:t>E. 1</w:t>
      </w:r>
    </w:p>
    <w:p>
      <w:r>
        <w:t>Le recours est dirigé contre une décision du juge de paix instituant une curatelle de portée de générale provisoire à forme des art. 398 et 445 al. 1 CC en faveur de F.________. a)Le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Le recourant conteste la curatelle de portée générale provisoire instituée en sa faveur. Il fait valoir qu’il est capable de s’occuper de ses affaires avec l’aide de sa famille et de ses amis et qu’il compte bien trouver une petite occupation pour combler le manque dans son budget.</w:t>
      </w:r>
    </w:p>
    <w:p>
      <w:r>
        <w:t>- 6 - 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(Meier/ Lukic, op. cit., n. 400, p. 191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w:t>
      </w:r>
    </w:p>
    <w:p>
      <w:r>
        <w:t>- 7 -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224).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w:t>
      </w:r>
    </w:p>
    <w:p>
      <w:r>
        <w:t>- 8 -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 cit., n. 10 ad art. 398 CC, p. 270),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c)L'autorité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w:t>
      </w:r>
    </w:p>
    <w:p>
      <w:r>
        <w:t>- 9 - Basler Kommentar, op. cit., nn. 16 et 29 ad art. 445 CC; Steck, in CommFam, op. cit., n. 10 ad art. 445 CC). S’agissant d’une mesure provisoire, il suffit que la cause et la condition soient réalisées à première vue (JT 2005 III 51). d)En l’espèce, il ressort du signalement du SPAS et des pièces figurant au dossier que le recourant a vu son bail résilié à deux reprises en raison de problèmes liés à son comportement, que le bail de son logement trouvé grâce à l’intervention des services sociaux ensuite de la première résiliation de bail a également été résilié, que le recourant ne respecte pas les injonctions du CSR en ne donnant pas suite aux convocations de l’assistante sociale et en ne se présentant pas à l’ORP, et qu’il a des dettes pour plus de 40'000 francs. A cela s’ajoute le fait que, aux dires du CSR et de son bailleur, le recourant est instable psychiquement, et que le recourant, anosognosique, nie ses problèmes de santé et refuse tout suivi psychiatrique. La teneur du procès-verbal de son audition par le juge de paix et celle de son recours confirment d’ailleurs la totale anosognosie du recourant. En l’état, les troubles psychiques constatés chez le recourant n’ont pas encore été qualifiés par un expert, mais ceux-ci induisent manifestement des comportements impulsifs inadéquats et dangereux pour lui et pour les autres. De plus, le recourant se trouve dans un état de faiblesse qui l’empêche de gérer ses affaires administratives et financières conformément à ses intérêts et, pas du tout conscient de sa situation, le recourant compromet ses affaires personnelles par des actes irrespon- sables. Ainsi, tant la cause que la condition de la curatelle de portée générale sont réalisées prima facie, à tout le moins dans le cadre provisionnel. La situation sociale et psychique du recourant commande qu’une mesure provisoire soit instituée en sa faveur pendant la durée de l’enquête. En outre, une expertise a été mise en œuvre auprès du Centre d’expertises de l’Hôpital de Cery par le juge de paix le 1er mai 2014. A l’instar du premier juge, la cour de céans considère qu’une curatelle de portée générale provisoire est la seule mesure de protection à</w:t>
      </w:r>
    </w:p>
    <w:p>
      <w:r>
        <w:t>- 10 - même, à tout le moins provisoirement et jusqu’à plus ample instruction, d’apporter au recourant la protection dont il a besoin. Le recourant refusant aujourd'hui toute mesure de protection, une curatelle d'accompagnement n'entre pas en ligne de compte (art. 393 al. 1 CC). Quant à une curatelle de représentation et/ou de gestion, elle n'apparaît pas suffisante, compte tenu de la complexité de la situation, qui nécessite, en l'état, la privation de l'exercice des droits civils de l'intéressé.</w:t>
      </w:r>
    </w:p>
    <w:p>
      <w:r>
        <w:rPr>
          <w:b/>
        </w:rPr>
        <w:t>E. 3</w:t>
      </w:r>
    </w:p>
    <w:p>
      <w:r>
        <w:t>En conclusion, le recours interjeté par F.________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 2 juin 2014</w:t>
      </w:r>
    </w:p>
    <w:p>
      <w:r>
        <w:t>- 11 - Le dispositif de l'arrêt qui précède est communiqué par écrit aux intéressés. La greffière : Du L'arrêt qui précède, dont la rédaction a été approuvée à huis clos, est notifié à : - M. F.________, - Office des curatelles et tutelles professionnelles, M. D.________,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