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D114.011506 vom 24. September 2014</w:t>
      </w:r>
    </w:p>
    <w:p>
      <w:r>
        <w:t>VD Tribunal cantonal, 2014-09-24, FR</w:t>
      </w:r>
    </w:p>
    <w:p>
      <w:r>
        <w:rPr>
          <w:b/>
        </w:rPr>
        <w:t xml:space="preserve">Quelle: </w:t>
      </w:r>
      <w:r>
        <w:t>https://mcp.opencaselaw.ch/entscheid/vd_gerichte_D114.011506</w:t>
      </w:r>
    </w:p>
    <w:p>
      <w:r>
        <w:t>FR: VD_GERICHTE D114.011506 du 24 septembre 2014</w:t>
      </w:r>
    </w:p>
    <w:p>
      <w:r>
        <w:t>IT: VD_GERICHTE D114.011506 del 24 settembre 2014</w:t>
      </w:r>
    </w:p>
    <w:p>
      <w:pPr>
        <w:pStyle w:val="Heading2"/>
      </w:pPr>
      <w:r>
        <w:t>Erwägungen</w:t>
      </w:r>
    </w:p>
    <w:p>
      <w:r>
        <w:rPr>
          <w:b/>
        </w:rPr>
        <w:t>E. 1</w:t>
      </w:r>
    </w:p>
    <w:p>
      <w:r>
        <w:t>Le recours est dirigé contre une décision refusant d'instituer une curatelle en faveur d'un enfant, en vue de représenter celui-ci dans les actions en contestation et établissement de la filiation. a)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w:t>
      </w:r>
    </w:p>
    <w:p>
      <w:r>
        <w:t>- 5 -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w:t>
      </w:r>
    </w:p>
    <w:p>
      <w:r>
        <w:rPr>
          <w:b/>
        </w:rPr>
        <w:t>E. 2.3</w:t>
      </w:r>
    </w:p>
    <w:p>
      <w:r>
        <w:t>et la référence citée). b) En l'espèce, il existe, au regard des déclarations de la recourante, des indices permettant de sérieusement douter de la paternité du père légalement inscrit. Il convient donc de procéder à une pesée des intérêts de l'enfant en comparant sa situation avec et sans le désaveu. Il résulte, également des déclarations de la recourante, que le père biologique a entamé une deuxième cure de désintoxication, qu'il se soumet à un traitement de méthadone et consulte régulièrement un médecin et un psychologue pour ses problèmes d'addiction. A la lecture de l'acte de recours, il semblerait que les intéressés vivent ensemble, avec l'enfant C.W.________, dès lors qu'ils ont une adresse commune. Pour le reste, le dossier ne comporte aucune information en relation avec les situations professionnelles et financières des pères légal et biologique. On ne sait pas d'avantage avec qui l'enfant C.W.________ vit, ni avec qui il entretient des relations personnelles. On ignore également qui pourvoit à son entretien. La cour de céans ne dispose ainsi pas d'éléments suffisants pour se livrer à une pesée des intérêts de l'enfant C.W.________ faute d'une instruction suffisante.</w:t>
      </w:r>
    </w:p>
    <w:p>
      <w:r>
        <w:t>- 7 -</w:t>
      </w:r>
    </w:p>
    <w:p>
      <w:r>
        <w:rPr>
          <w:b/>
        </w:rPr>
        <w:t>E. 3</w:t>
      </w:r>
    </w:p>
    <w:p>
      <w:r>
        <w:t>Les recourants concluent à la nomination de Me Micaela Vaerini en qualité de curatrice de l'enfant C.W.________. Ils font valoir que leur situation a évolué depuis l'audition de A.W.________ par la justice de paix, en particulier qu'ils forment une famille recomposée depuis deux ans. a) 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L'action de l'enfant est intentée contre le mari et la mère (art. 256 al. 2 CC). Pour l'enfant, il s'agit d'un droit strictement personnel, indépendant de celui du mari de sa mère, qu'il peut ainsi exercer seul s'il a la capacité de discernement (art. 19c al. 1 CC) ; à défaut, l'enfant doit pouvoir agir par un curateur de représentation (art. 306 al. 2 CC), lequel entreprendra le procès en désaveu au nom de l'enfant (TF 5A_939/2013 du 5 mars 2014 c. 2.1 ; TF 5A_128/2009 du 22 juin 2009 c. 2.3 ; ATF 122 II 289 c. 1 c, JT 1998 I 93 et les références citées). L'autorité de protection appelée à nommer un curateur à l'enfant doit déterminer si l'ouverture d'une action en désaveu est ou non conforme à l'intérêt de celui-ci (cf. ATF 121 III 1 c. 2c p. 4, JT 1996 I 662 et les références citées). Elle devra d'abord examiner s'il existe des indices permettant de sérieusement douter de la paternité du père légalement inscrit. Dans l'affirmative, elle devra procéder à une pesée des intérêts de l'enfant en comparant sa situation avec et sans le désaveu (TF</w:t>
      </w:r>
    </w:p>
    <w:p>
      <w:r>
        <w:t>- 6 - 5A_128/2009 précité c. 2.3 et les références citées). Elle doit tenir compte des conséquences d'ordre tant psycho-social que matériel, par exemple la perte du droit à l'entretien et des expectatives successorales (TF 5A_128/2009 précité c. 2.3 ; ATF 121 III 1 c. 2c p. 5, JT 1996 I 662) ;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(TF 5A_939/2013 précité c. 2.1 ; TF 5A_128/2009 précité c.</w:t>
      </w:r>
    </w:p>
    <w:p>
      <w:r>
        <w:rPr>
          <w:b/>
        </w:rPr>
        <w:t>E. 4</w:t>
      </w:r>
    </w:p>
    <w:p>
      <w:r>
        <w:t>En conclusion, le recours doit être admis, la décision entreprise annulée et la cause renvoyée à la justice de paix pour nouvelle instruction et nouvelle décision dans le sens des considérants. A cette occasion, le recourant, qui a requis son audition et celle de la recourante, aura la possibilité d'être entendu.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l'Ouest lausannois pour nouvelle instruction et nouvelle décision dans le sens des considérants. III. Il est statué sans frais. IV. L'arrêt motivé est exécutoire. La présidente : La greffière : Du 24 septembre 2014 Le dispositif de l'arrêt qui précède est communiqué par écrit aux intéressés. La greffière :</w:t>
      </w:r>
    </w:p>
    <w:p>
      <w:r>
        <w:t>- 8 - Du L'arrêt qui précède, dont la rédaction a été approuvée à huis clos, est notifié à : - Mme A.W.________, - M. H.________, - Me Micaela Varini, et communiqué à : - Justice de paix du district de l'Ouest lausannois,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