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CT07.012878 vom 21. Januar 2010</w:t>
      </w:r>
    </w:p>
    <w:p>
      <w:r>
        <w:t>VD Tribunal cantonal, 2010-01-21, FR</w:t>
      </w:r>
    </w:p>
    <w:p>
      <w:r>
        <w:rPr>
          <w:b/>
        </w:rPr>
        <w:t xml:space="preserve">Quelle: </w:t>
      </w:r>
      <w:r>
        <w:t>https://mcp.opencaselaw.ch/entscheid/vd_gerichte_CT07.012878</w:t>
      </w:r>
    </w:p>
    <w:p>
      <w:r>
        <w:t>FR: VD_GERICHTE CT07.012878 du 21 janvier 2010</w:t>
      </w:r>
    </w:p>
    <w:p>
      <w:r>
        <w:t>IT: VD_GERICHTE CT07.012878 del 21 gennaio 2010</w:t>
      </w:r>
    </w:p>
    <w:p>
      <w:pPr>
        <w:pStyle w:val="Heading2"/>
      </w:pPr>
      <w:r>
        <w:t>Volltext</w:t>
      </w:r>
    </w:p>
    <w:p>
      <w:r>
        <w:t>TRIBUNAL CANTONAL 36/I CHAMBRE DE S RECO URS ________________________________ Arrêt du 21 janvier 2010 ______________________ Présidence de M. COLOMBINI, président Juges : MM. Creux et Denys Greffière : Mme Rossi ***** Art. 444 et 451a CPC Vu le jugement rendu le 26 mai 2009 par la Cour civile, dont la motivation a été notifiée aux parties le 4 janvier 2010, dans la cause divisant T.________, à Vinhedo (Brésil), demanderesse, d'avec A.D.________ et B.D.________, tous deux à Chavannes-de-Bogis, défendeurs, prononçant que ces derniers, solidairement entre eux, doivent payer à la demanderesse la somme de 154'043 fr. 45, avec intérêt à 5% l'an dès le 17 octobre 1997 sur la somme de 20'000 fr. et dès le 15 mai 2003 sur le solde (I) - à titre de salaire et d'indemnité pour les vacances non prises -, levant définitivement les oppositions formées par les défendeurs aux commandements de payer qui leur ont été notifiés le 26 mars 2007, à concurrence du montant en capital et intérêt alloué sous chiffre I (II et III) et arrêtant les frais et dépens (IV et V), 809</w:t>
      </w:r>
    </w:p>
    <w:p>
      <w:r>
        <w:t>- 2 - vu le recours interjeté le 12 janvier 2010 par A.D.________ et B.D.________ contre ce jugement, dans lequel ils ont conclu à sa réforme en ce sens que T.________ est déboutée, sous suite de frais et dépens, de toutes ses conclusions, vu les autres pièces du dossier; attendu que, selon l’art. 451a al. 1 CPC (Code de procédure civile du 14 décembre 1966; RSV 270.11),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que cette disposition n'a pas été adaptée à l'entrée en vigueur de la LTF (loi du 17 juin 2005 sur le Tribunal fédéral; RS 173.110), que la recevabilité du recours cantonal en réforme doit dorénavant être examinée au regard de cette loi, que le recours en matière civile est ouvert contre les décisions finales (art. 90 LTF) rendues en matière civile (art. 72 al. 1 LTF) par une autorité cantonale de dernière instance (art. 75 al. 1 LTF) pour autant que la valeur litigieuse de 30'000 fr. soit atteinte (art. 74 al. 1 let. b LTF), respectivement la valeur litigieuse de 15'000 fr. en matière de droit du travail et de droit du bail à loyer (art. 74 al. 1 let. a LTF), que le recours en matière civile peut être interjeté pour violation du droit, tel qu’il est délimité par les art. 95 et 96 LTF, notamment pour violation du droit fédéral (art. 95 let. a LTF), y compris les droits constitutionnels,</w:t>
      </w:r>
    </w:p>
    <w:p>
      <w:r>
        <w:t>- 3 - que lorsque le recours en matière civile au Tribunal fédéral est ouvert, le recours en réforme cantonal est exclu, qu'en l'espèce, la Cour civile a rendu son jugement en application du droit fédéral dans une affaire civile dont la valeur litigieuse est supérieure à 30'000 fr., que le recours en matière civile au Tribunal fédéral est par conséquent ouvert, que le recours en réforme cantonal de l'art. 451a CPC est ainsi exclu, qu'au plan cantonal, seule la voie du recours en nullité de l'art. 444 al. 1 CPC serait ouverte (TF 4A_451/2008 du 18 novembre 2008 c. 1), que les recourants n'ont toutefois en l'occurrence pris aucune conclusion en annulation, donc n'ont pas formé de recours en nullité, qu'au vu de ce qui précède, le recours, qui tend uniquement à la réforme, doit être déclaré irrecevable; attendu que le présent arrêt peut être rendu sans frais ni dépens.</w:t>
      </w:r>
    </w:p>
    <w:p>
      <w:r>
        <w:t>- 4 - Par ces motifs, la Chambre des recours du Tribunal cantonal, statuant à huis clos, prononce : I. Le recours est irrecevable.</w:t>
      </w:r>
    </w:p>
    <w:p>
      <w:r>
        <w:t>- 5 - II. Le présent arrêt, rendu sans frais ni dépens, est exécutoire. Le président : La greffière : Du L'arrêt qui précède, dont la rédaction a été approuvée à huis clos, est notifié à : - Me François Canonica (pour A.D.________ et B.D.________), - Me Philippe A. Eigenheer (pour T.________). Il prend date de ce jour. La Chambre des recours considère que la valeur litigieuse est de 154'043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par l'envoi de photocopies, à : -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