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CS21.039674 vom 23. November 2021</w:t>
      </w:r>
    </w:p>
    <w:p>
      <w:r>
        <w:t>VD Tribunal cantonal, 2021-11-23, FR</w:t>
      </w:r>
    </w:p>
    <w:p>
      <w:r>
        <w:rPr>
          <w:b/>
        </w:rPr>
        <w:t xml:space="preserve">Quelle: </w:t>
      </w:r>
      <w:r>
        <w:t>https://mcp.opencaselaw.ch/entscheid/vd_gerichte_CS21.039674</w:t>
      </w:r>
    </w:p>
    <w:p>
      <w:r>
        <w:t>FR: VD_GERICHTE CS21.039674 du 23 novembre 2021</w:t>
      </w:r>
    </w:p>
    <w:p>
      <w:r>
        <w:t>IT: VD_GERICHTE CS21.039674 del 23 novembre 2021</w:t>
      </w:r>
    </w:p>
    <w:p>
      <w:pPr>
        <w:pStyle w:val="Heading2"/>
      </w:pPr>
      <w:r>
        <w:t>Erwägungen</w:t>
      </w:r>
    </w:p>
    <w:p>
      <w:r>
        <w:rPr>
          <w:b/>
        </w:rPr>
        <w:t>E. 10</w:t>
      </w:r>
    </w:p>
    <w:p>
      <w:r>
        <w:t>Au mois de juillet 2021, la société [...], mandatée par la [...], a rendu un rapport intitulé « Revue du projet [...], Revue de gouvernance et de gestion de projet » dont il ressort notamment ce qui suit : « (…) P.________ (…) a décidé de geler le développement de la solution [...], initié en 2015, avec le partenaire Z.________. Ce blocage fait suite à une demande de besoins d’évolution complémentaires évalués à hauteur de MCHF 13.1. (…) Malgré le blocage du projet par P.________, le partenaire informatique Z.________ a poursuivi le développement de la solution afin d’aboutir à une livraison et une mise en production, planifiée en juillet 2022, pour d’autres clients, non intégrés à P.________.</w:t>
      </w:r>
    </w:p>
    <w:p>
      <w:r>
        <w:t>Une reprise des activités de développement de la solution [...] avec P.________ exige une revue de la gouvernance interne de la structure P.________ et des modalités de fonctionnement précisées dans le contrat cadre de collaboration. En effet, la structure actuelle, le processus décisionnel et les modalités contractuelles ne sont pas adaptés au mode de fonctionnement nécessaire pour le développement d’une telle solution. En outre, des recommandations en matière de gestion de projet sont également préconisées afin de renforcer la maîtrise et le pilotage du projet. (…) Le développement de [...] se situe à 78% fin juin (…). Nous relevons néanmoins, les risques majeurs d’écart avec le budget et la planification concernent principalement les besoins d’évolution complémentaires (…). (…) Nous recommandons que les caisses membres de P.________ (…) revoient et changent éventuellement les représentants des caisses au conseil d’administration, afin que ce dernier soit doté de personnes disposant de compétences spécifiques en termes de surveillance de grands projets et de l’autorité nécessaire pour pouvoir prendre les décisions sans avoir à en référer à leur propre caisse. (…) (…) P.________ a reçu 2 factures de maintenance de la part de Z.________ qui ont toutes les deux fait l’objet d’une demande d’annulation : • 20 décembre 2019 pour un montant de CHF 1'017'765.00, correspondant à 50% de la maintenance de la solution [...] et ; • 17 décembre 2020 pour un montant de CHF 1'885'647.50, correspondant à 100% de la maintenance de la solution [...]. (…) De notre point de vue, et selon le contrat cadre de collaboration, nous considérons que ces factures ne sont pas légitimes (…). (…) Constats et recommandations à court terme Gouvernance (…) • P.________ ne prend pas de décisions sans que les représentants des caisses (au sein de P.________) ne réfèrent les décisions à l’interne de leur caisse. Cette latence dans le processus décisionnel de P.________ est source de délais, de contradictions dans le temps, et parfois d’absence de décision.</w:t>
      </w:r>
    </w:p>
    <w:p>
      <w:r>
        <w:t>(…) • Aucun organe ne valide les spécifications fonctionnelles ou très tardivement, ce qui n’est pas en ligne avec les responsabilités des métiers dans le projet. (…). »</w:t>
      </w:r>
    </w:p>
    <w:p>
      <w:r>
        <w:rPr>
          <w:b/>
        </w:rPr>
        <w:t>E. 11</w:t>
      </w:r>
    </w:p>
    <w:p>
      <w:r>
        <w:t>Le 17 août 2021, la requérante a déposé une requête de conciliation dans le cadre d’une action en annulation d’une décision de l’assemblée générale (refus de l’élection de K.________ au conseil d’administration de l’intimée) devant le Juge délégué de la Chambre patrimoniale cantonale vaudoise.</w:t>
      </w:r>
    </w:p>
    <w:p>
      <w:r>
        <w:rPr>
          <w:b/>
        </w:rPr>
        <w:t>E. 12</w:t>
      </w:r>
    </w:p>
    <w:p>
      <w:r>
        <w:t>Le 9 septembre 2021, [...] a publié un communiqué de presse indiquant qu’elle confiait au Contrôle cantonal des finances un mandat d’audit relatif à la gouvernance et au suivi du projet [...]. Par courrier du 21 octobre 2021, [...] a écrit ce qui suit à l’intimée : « (…) Nous sommes en mesure de vous confirmer, à votre demande, que les dysfonctionnements identifiés par le Contrôle cantonal des finances et ayant fait l’objet d’une dénonciation au Ministère public ne concernent pas, à notre meilleure connaissance, des actions de Z.________ dans le cadre du projet de développement du logiciel « [...]». (…). » Par courrier du 3 novembre 2021 adressé à [...], l’intimée a reproduit les questions posées par la requérante dans le cadre de la présente procédure et y a répondu comme suit, avec copie au conseil de la requérante : « (…) Réponses aux questions posées par P.________ a.Pourquoi les droits de propriété intellectuelle en lien avec le développement de la solution [...], selon les termes du Contrat Cadre de collaboration « [...]» ne sont-ils pas</w:t>
      </w:r>
    </w:p>
    <w:p>
      <w:r>
        <w:t>comptabilisés au bilan de Z.________ ? Le cas échéant, à combien doivent être valorisés ces droits ? (…) A titre liminaire, il sied de relever que P.________ confond, délibérément ou non, la suite de logiciels « [...]» et le logiciel « [...]» dans ses questions a et b. Or, seul le dernier logiciel cité, à savoir [...], fait l’objet de la relation contractuelle entre Z.________ et P.________ régie par le Contrat Cadre de collaboration du 20 octobre 2017 (« CCC »). S’agissant de la non-comptabilisation au bilan de Z.________ des droits de propriété intellectuelle relatifs au logiciel [...], comme déjà expliqué à réitérées reprises à P.________, le Conseil d’administration de Z.________ a jugé qu’il n’était pas nécessaire ni opportun d’en activer la valeur au bilan, en se fondant sur le principe de prudence en matière comptable, et ce pour les principales raisons suivantes : • le projet de développement du logiciel [...] n’est pas finalisé, en l’absence d’une solution commerciale raisonnable avec les partenaires de Z.________ pour le financement de la finalisation du projet ; • le logiciel [...] n’a pas été mis sur le marché dans sa totalité à ce jour, même si certaines composantes du logiciel fonctionnent déjà ; • la non-comptabilisation au bilan n’a pas d’impact sur la propriété de Z.________ sur le logiciel [...]; • le principe de prudence est un principe reconnu du droit comptable suisse (art. 958c CO). Quant à la valorisation des droits de propriété intellectuelle, Z.________ se garde justement de tenter de les estimer à ce stade, dans la perspective de prudence comptable évoquée. Il est toutefois clair que ces droits ont – ou, plus précisément, auront – une valeur potentiellement significative une fois que les accords nécessaires auront été mis en place pour permettre de finaliser le développement du logiciel [...]. b. Quelles sont les mesures qui ont été prises par Z.________ pour protéger les droits de propriété intellectuelle en lien avec le développement de la solution [...], selon les termes du Contrat Cadre de collaboration « [...]» du 20 octobre 2017 ? (…) Par l’application de la loi fédérale du 9 octobre 1992 sur le droit d’auteur et les droits voisins (« LDA ») qui confère à l’auteur un droit exclusif sur l’œuvre dès sa création, Z.________ n’a pas besoin de prendre des mesures particulières pour protéger ses droits de propriété intellectuelle sur le logiciel [...]. (…) Ainsi, [...] bénéficie de la protection accordée par le droit exclusif dont est titulaire Z.________, sans qu’il soit nécessaire</w:t>
      </w:r>
    </w:p>
    <w:p>
      <w:r>
        <w:t>d’entreprendre une quelconque autre formalité et même sans possibilité d’enregistrement dans un quelconque registre. c. Pourquoi des prestations de sous-traitance (déjà facturées ou à facturer) confiées par Z.________ à et réalisées par la ou des société(s) du groupe [...] ne sont-elles pas comptabilisées au bilan de Z.________, respectivement pourquoi ne font-elles pas l’objet d’une provision dans le bilan de Z.________ ? (…) Avant tout, il sied de rappeler que P.________ a donné son accord dans le CCC pour que la réalisation du logiciel [...] soit sous-traitée à [...]. P.________ a par la suite suivi toute l’activité déployée par [...] et l’évolution du projet en participant aux Comités de Pilotage et de Coordination depuis 2017. P.________ a également eu accès au bilan de Z.________ au cours des assemblées générales organisées annuellement, et n’a jamais remis en cause jusqu’à ce jour la tenue de la comptabilité. Sur le fond, le Conseil d’administration de Z.________ n’a pas jugé nécessaire d’inscrire au bilan de la société une dette envers [...] au titre des travaux de développement accomplis par [...] dans la mesure où [...] a décidé de surseoir à la facturation de ses services de développement tant que les contributions des différentes parties à la prise en charge de ces coûts n’ont pas été clarifiées et formalisées dans le cadre des discussions pourtant initiées depuis plusieurs années par Z.________ et [...] avec leurs partenaires P.________ et [...]. Ce report de facturation accepté par [...] (pour l’aligner sur la facturation qui serait effectuée par Z.________ auprès de ses propres clients) offre à Z.________ une flexibilité accrue quant à l’inscription au bilan des factures et est propre à favoriser Z.________ (et indirectement son actionnaire P.________) durant la phase de développement du logiciel [...]. Le but visé par cette solution est en effet d’éviter que Z.________ se trouve confrontée à des factures à honorer en faveur d’[...] sans avoir facturé elle- même ses clients. Z.________ comprend que P.________ aurait apparemment souhaité que les prestations de développement d’[...] soient comptabilisées au bilan de Z.________, le cas échéant sous la forme d’une provision, et en prend note. Cela dit, le Conseil d’administration de Z.________ a pris une décision différente, qui ne lèse aucunement Z.________ ou P.________, et ne comprend pas en quoi un contrôle spécial, exclusivement destiné en droit suisse à clarifier des faits (et non à émettre des appréciations sur tel ou tel fait), présenterait la moindre utilité ou pertinence par rapport à cette question. d. Les prestations mentionnées sous ch. 5 let. c ci-dessus correspondent-elles à des prestations effectivement effectuées ? (…)</w:t>
      </w:r>
    </w:p>
    <w:p>
      <w:r>
        <w:t>L’ensemble des prestations réalisées par [...] en faveur de Z.________ pour le développement d’[...] ont été effectivement réalisées et sont toutes justifiées par les timesheets des personnes actives sur le projet durant la période pertinente et les autres documents pertinents. A cet égard, le Rapport [...] demandé par la [...] a situé à 78% à fin juin 2021 le taux de réalisation d’[...], ce qui démontre en tant que de besoin qu’[...] a effectivement fourni ses prestations dans le cadre du développement du projet. Il s’ensuit qu’aucun élément figurant dans la relation entre Z.________, [...] et P.________ ne laisse envisager que des prestations fictives auraient été facturées par [...]. e.Le montant des prestations mentionnées sous ch. 5 let. c ci-dessus est-il conforme au montant facturé pour des prestations similaires effectuées par des acteurs indépendants du marché ? Le cas échéant, quel montant des prestations mentionnées sous ch. 5 let. c ci-dessus doit être comptabilisé ? (…) De manière générale, les projets informatiques de ce type sont coûteux et connaissent souvent des retards ainsi que des augmentations de coûts par rapport au budget initialement prévu. Cela étant, dans le cas particulier, [...] n’ayant pas encore émis de factures pour toutes ses prestations de développement excédant le cadre initialement fixé dans le CCC, il n’est pas possible de répondre à la question posée. En revanche, Z.________ peut confirmer que le montant des prestations sera, une fois facturé, tout à fait conforme au montant qui serait facturé entre acteurs indépendants, dans la mesure où il se basera sur la multiplication d’un nombre d’heures de travail vérifiable dans les timesheets des employés concernés par des taux horaires transparents et validés entre les parties. Il n’existe ainsi pas de risque d’application d’une marge ou d’une prime indue qui pénaliserait Z.________ par rapport à un client tiers du groupe [...]. Au contraire, les risques financiers considérables pris par [...] pour avancer dans le développement du projet [...] en dépit de l’absence d’accord formel avec P.________ sur les modalités de prise en charge des coûts de développement supplémentaires démontrent que Z.________ bénéficie d’un traitement largement plus favorable de la part d’[...] qu’un acteur indépendant du marché. f. En lien avec les prestations mentionnées sous ch. 5 let. c ci-dessus, quelle est la ou les société(s) du groupe [...] bénéficiaire des factures y relatives, actuelles et à intervenir ? (…) La société bénéficiaire des factures est [...].</w:t>
      </w:r>
    </w:p>
    <w:p>
      <w:r>
        <w:t>g. Quelles sont les mesures qui ont été prises – en lien avec les prestations mentionnées sous ch. 5 let. c ci-dessus – pour éviter les éventuels conflits d’intérêts entre (i) les intérêts de la ou des société(s) du groupe [...] ayant réalisé les prestations précitées et (ii) les intérêts de la société Z.________, étant entendu que Z.________ est détenue à 60% par [...] et à 40% par P.________ ? (…) A titre liminaire, il convient de rappeler la genèse du projet [...] et le rôle respectif de chaque entité. Ce rappel de l’historique du projet permettra de simplifier la grille de lecture, et dissiper tout doute quant à d’éventuels conflits d’intérêts entre [...] et Z.________. Initialement, [...] et les Caisses ([...], [...], suivi par [...] et ensuite [...]) avaient décidé de créer conjointement en 2016 la société Z.________ (…) afin de développer [...]. Pour des raisons indépendantes de la volonté d’[...], les Caisses ont abandonné l’idée de détenir directement des parts dans Z.________, et ont créé P.________ (dont elles sont actionnaires uniques), dont la raison d’être est de détenir les 40% dans Z.________ et de représenter les intérêts des Caisses. Autrement dit, Z.________ n’est pas une entité « [...] » comme le prétend Monsieur K.________, mais représente aujourd’hui le véhicule commun de la collaboration entre [...] et les Caisses. Dans ce contexte, les risques d’abus et de conflit d’intérêts demeurent marginaux, ce d’autant plus que les Caisses/P.________ sont totalement intégrées au processus d’élaboration et de réalisation d’[...]. En particulier, les informations relatives à l’avancement du projet sont partagées dans le cadre des Comités de pilotage et de coordination, mis sur pied dans le cadre du CCC et composés majoritairement par des représentants des Caisses/P.________. Ces comités ont pour objet de décider des orientations stratégiques, gérer les demandes de modifications importantes liées au projet et assurer le bon déroulement du projet [...] dans ses aspects concrets, notamment le suivi des tâches. Des séances de groupes de travail ont ainsi été régulièrement tenues entre les représentants d’[...], Z.________ et P.________, permettant ainsi à P.________ d’avoir en tout temps une parfaite visibilité sur la gestion du projet. En outre, par sa participation dans Z.________, P.________ a toujours été titulaire des droits d’information ainsi que des droits de veto pour les décisions nécessitant la majorité qualifiée propres à un actionnaire à 40%. Les Caisses/P.________ ont ainsi pu participer aux assemblées générales organisées par Z.________ annuellement depuis 2018, disposer d’un accès aux livres de la société (le bilan, le rapport de gestion ainsi que le compte de pertes et profits pour les exercices correspondants) et poser les questions jugées utiles lors des assemblées générales. D’ailleurs, avant le développement du contentieux entre Monsieur K.________ et Z.________, P.________ n’a jamais remis en cause le mode de fonctionnement adopté par Z.________ ni sa manière de</w:t>
      </w:r>
    </w:p>
    <w:p>
      <w:r>
        <w:t>comptabiliser les droits de propriété intellectuelle sur le logiciel [...] ou la facturation des services de développement d’[...]. (…) ».</w:t>
      </w:r>
    </w:p>
    <w:p>
      <w:r>
        <w:rPr>
          <w:b/>
        </w:rPr>
        <w:t>E. 13</w:t>
      </w:r>
    </w:p>
    <w:p>
      <w:r>
        <w:t>a) Par requête du 17 septembre 2021, la requérante a pris, avec suite de frais et dépens, les conclusions suivantes : « Préalablement I. Déclarer recevable la présente requête en contrôle spécial. II. Délivrer à la requérante P.________ l’attestation de l’acte introductif d’instance. Principalement III. Admettre la requête. IV. Nommer un ou plusieurs expert(s) indépendant(s), dont la/les personne(s) sera/seront définie(s) en cours d’instance, et le/les charger d’exécuter un contrôle spécial au sein de la citée Z.________ concernant l’élucidation des faits suivants : (i) l’absence de comptabilisation des droits de propriété intellectuelle au bilan de la citée Z.________ et (ii) l’absence de comptabilisation des factures correspondant aux prestations effectuées par une ou des société(s) du groupe [...] au bilan de la citée Z.________. V. Charger le ou les expert(s) indépendant(s) de répondre aux questions suivantes : a. Pourquoi les droits de propriété intellectuelle en lien avec le développement de la solution [...], selon les termes du Contrat Cadre de collaboration « [...]» ne sont-ils pas comptabilisés au bilan de Z.________ ? Le cas échéant, à combien doivent être valorisés ces droits ? b. Quelles sont les mesures qui ont été prises par Z.________ pour protéger les droits de propriété intellectuelle en lien avec le développement de la solution [...], selon les termes du Contrat Cadre de collaboration « [...]» du 20 octobre 2017 ? c. Pourquoi des prestations de sous-traitance (déjà facturées ou à facturer) confiées par Z.________ à et réalisées par la ou des société(s) du groupe [...] ne sont-elles pas comptabilisées au bilan de Z.________, respectivement pourquoi ne font-elles pas l’objet d’une provision dans le bilan de Z.________ ? d. Les prestations mentionnées sous ch. 5 let. c ci-dessus correspondent-elles à des prestations effectivement effectuées ?</w:t>
      </w:r>
    </w:p>
    <w:p>
      <w:r>
        <w:t>e. Le montant des prestations mentionnées sous ch. 5 let. c ci- dessus est-il conforme au montant facturé pour des prestations similaires effectuées par des acteurs indépendants du marché ? Le cas échéant, quel montant des prestations mentionnées sous ch. 5 let. c ci-dessus doit être comptabilisé ? f. En lien avec les prestations mentionnées sous ch. 5 let. c ci- dessus, quelle est la ou les société(s) du groupe [...] bénéficiaire des factures y relatives, actuelles et à intervenir ? g. Quelles sont les mesures qui ont été prises – en lien avec les prestations mentionnées sous ch. 5 let. c ci-dessus – pour éviter les éventuels conflits d’intérêts entre (i) les intérêts de la ou des société(s) du groupe [...] ayant réalisé les prestations précitées et (ii) les intérêts de la société Z.________, étant entendu que Z.________ est détenue à 60% par [...] et à 40% par P.________ ? VI. Fixer le délai dans lequel le contrôle spécial devra être effectué par l’expert indépendant. VII. Fixer le délai dans lequel l’expert indépendant devra remettre son rapport au Juge délégué de la Cour civile du Tribunal cantonal du canton de Vaud. VIII. Réserver à la requérante P.________ le droit de prendre position sur le rapport de l’expert indépendant et de poser des questions supplémentaires. IX. Mettre à charge de la citée Z.________ toutes les avances et frais liés à l’exécution du contrôle spécial par l’expert indépendant. X. Avec suite de frais judiciaires et dépens. » Par réponse du 10 novembre 2021, l'intimée a pris les conclusions suivantes : « I A la forme 1. Déclarer recevable le présent mémoire de réponse. II Au fond Principalement 2. Débouter P.________ de toutes ses conclusions. Subsidiairement 3. Acheminer Z.________ à prouver par toutes voies de droit les faits allégués dans la présente écriture. En tout état</w:t>
      </w:r>
    </w:p>
    <w:p>
      <w:r>
        <w:t>4. Condamner P.________ en tous les frais judiciaires, y compris une équitable indemnité de dépens. » b) Les parties et le témoin [...] ont été entendus lors de l’audience du 23 novembre 2021. A cette occasion, la requérante a déposé la conclusion V complémentaire suivante : « V. Charger le ou les expert(s) indépendant(s) de répondre aux questions suivantes : a. Pourquoi les droits de propriété intellectuelle en lien avec le développement de la solution [...], selon les termes du Contrat Cadre de collaboration « [...]» ne sont-ils pas comptabilisés au bilan de Z.________ ? Le cas échéant, à combien doivent être valorisés ces droits ? Quel est l’état de développement du logiciel ? Y a-t-il des développements partiels terminés et/ou commercialisés ou utilisés ? b. Quelles sont les mesures qui ont été prises par Z.________ pour protéger les droits de propriété intellectuelle en lien avec le développement de la solution [...], selon les termes du Contrat Cadre de collaboration « [...]» du 20 octobre 2017 ? c. Pourquoi des prestations de sous-traitance (déjà facturées ou à facturer) confiées par Z.________ à et réalisées par la ou des société(s) du groupe [...] ne sont-elles pas comptabilisées au bilan de Z.________, respectivement pourquoi ne font-elles pas l’objet d’une provision dans le bilan de Z.________ ? Ont-ils été déposés auprès de l’agence pour la protection des programmes à Genève ? Dans l’affirmative, quand et avec quel contenu ? Des droits directs de P.________ ont-ils été réservés auprès de l’agence précitée ? d. Les prestations mentionnées sous ch. 5 let. c ci-dessus correspondent-elles à des prestations effectivement effectuées ? De quelles prestations s’agit-il effectivement ? Quel est le fondement de ces prestations ? Y a-t-il des droits associés en faveur de [...] ? Sont-elles dans le cadre du budget et du programme initial ? e. Le montant des prestations mentionnées sous ch. 5 let. c ci- dessus est-il conforme au montant facturé pour des prestations similaires effectuées par des acteurs indépendants du marché ? Le cas échéant, quel montant des prestations mentionnées sous ch. 5 let. c ci-dessus doit être comptabilisé ?</w:t>
      </w:r>
    </w:p>
    <w:p>
      <w:r>
        <w:t>f. En lien avec les prestations mentionnées sous ch. 5 let. c ci- dessus, quelle est la ou les société(s) du groupe [...] bénéficiaire des factures y relatives, actuelles et à intervenir ? g. Quelles sont les mesures qui ont été prises – en lien avec les prestations mentionnées sous ch. 5 let. c ci-dessus – pour éviter les éventuels conflits d’intérêts entre (i) les intérêts de la ou des société(s) du groupe [...] ayant réalisé les prestations précitées et (ii) les intérêts de la société Z.________, étant entendu que Z.________ est détenue à 60% par [...] et à 40% par P.________ ? » E n d r o i t : I. a) L'intimée ayant son siège à [...], les tribunaux vaudois sont compétents pour connaître de la requête du 17 septembre 2021 (art. 10 al. 1 let. b CPC [Code de procédure civile du 19 décembre 2008 ; RS 272]). b) En vertu de l’art. 5 al. 1 let. g CPC, le droit cantonal institue une juridiction compétente pour statuer en instance cantonale unique sur la désignation d'un contrôleur spécial en vertu de l'art. 697b CO (Code suisse des obligations du 30 mars 1911 ; RS 220). Dans le canton de Vaud, l'instance cantonale unique est la Cour civile du Tribunal cantonal (art. 74 al. 3 LOJV, loi vaudoise d'organisation judiciaire du 12 décembre 1979 ; BLV 173.01). Celle-ci étant une autorité collégiale, le juge unique qu’elle désigne est compétent pour statuer sur les affaires soumises à la procédure sommaire (art. 43 al. 1 let. e CDPJ, Code de droit privé judiciaire vaudois du 12 janvier 2010 ; BLV 211.01), qui s'applique notamment à la désignation d'un contrôle spécial de la société anonyme (art. 250 let. c ch. 8 CPC). Partant, le Juge délégué de la Cour civile est compétent pour statuer sur la requête du 17 septembre 2021.</w:t>
      </w:r>
    </w:p>
    <w:p>
      <w:r>
        <w:t>II. La requérante entend obtenir l'instauration d'un contrôle spécial afin de savoir principalement pourquoi la propriété intellectuelle liée à la plateforme « [...]» et le montant des prestations commandées à [...] à hauteur de 19'000'000 fr. ne sont pas portés en compte par l’intimée. Elle admet avoir obtenu des réponses de la part de cette dernière aux questions qu’elle a posées à ce sujet par courrier du 20 mai 2021 et lors de l’assemblée générale du</w:t>
      </w:r>
    </w:p>
    <w:p>
      <w:r>
        <w:rPr>
          <w:b/>
        </w:rPr>
        <w:t>E. 17</w:t>
      </w:r>
    </w:p>
    <w:p>
      <w:r>
        <w:t>juin 2021, mais elle considère que ces réponses sont insatisfaisantes, voire fausses et non plausibles. III. a) Aux termes de l'art. 697a al. 1 CO, tout actionnaire peut proposer à l'assemblée générale l'institution d'un contrôle spécial afin d'élucider des faits déterminés, si cela est nécessaire à l'exercice de ses droits et s'il a déjà usé de son droit à être renseigné ou à consulter les pièces. Si l'assemblée générale ne donne pas suite à la proposition, des actionnaires représentant 10% au moins du capital-actions ou des actions d'une valeur nominale de deux millions de francs peuvent, dans les trois mois, demander au juge la désignation d'un contrôleur spécial (art. 697b al. 1 CO). Les requérants ont droit à la désignation d'un contrôleur spécial lorsqu'ils rendent vraisemblable que des fondateurs ou des organes ont violé la loi ou les statuts et qu'ils ont ainsi causé un préjudice à la société ou aux actionnaires (art. 697b al. 2 CO). En vertu de l'art. 656b al. 3 CO, en cas d'institution d'un contrôle spécial contre la volonté de l'assemblée générale, le montant du capital-participation doit être ajouté à celui du capital-actions. Avant de s'adresser au juge, l'actionnaire doit ainsi proposer à l'assemblée générale l'institution d'un contrôle spécial. Il n'est pas nécessaire que ce point soit porté à l'ordre du jour (art. 700 al. 3 CO); le conseil d'administration a l'obligation de soumettre la proposition au vote de l'assemblée générale; s'il s'y refuse, son attitude équivaut à un refus de</w:t>
      </w:r>
    </w:p>
    <w:p>
      <w:r>
        <w:t>l'assemblée générale elle-même et l'actionnaire pourra s'adresser au juge (ATF 138 III 252 consid. 3.1; ATF 133 III 133 consid. 3.2). b) En l'espèce, lors de l'assemblée générale ordinaire du 17 juin 2021, la requérante a demandé qu'il soit répondu aux questions relatives à l’absence de valorisation des droits de propriété intellectuelle et à l’absence de comptabilisation de créances de la société [...] envers l’intimée alors qu’elles s’élèveraient à plusieurs millions de francs. La requérante avait déjà posé ces questions par courrier du 20 mai 2021 en vue de l’assemblée générale du 17 juin 2021. Il lui a alors été répondu, tant par courrier du 10 juin 2021 que lors de l’assemblée générale, que l’absence de valorisation des droits de propriété intellectuelle découlait du principe de prudence adopté par la société dans la présentation de ses comptes, qui justifiait de ne pas prendre le risque de présenter une situation financière pouvant le cas échéant être considérée comme artificiellement trop favorable avant que la plateforme ne soit pleinement opérationnelle et de nature à générer des redevances de licences auprès de tiers. S’agissant de l’absence de comptabilisation des prestations de la société [...], il lui a été répondu qu’elle découlait du fait que cette dernière avait accepté de surseoir à la facturation de ses prestations afin d’éviter de surcharger les comptes de charges de l’intimée tant que celle-ci ne générait pas de revenus au titre de la vente de licences et/ou d’autres prestations ou services à des clients tiers et que tant que les contributions des différentes parties à la prise en charge des coûts complémentaires n’avaient pas été formalisées. La requérante, insatisfaite par les réponses obtenues, a alors sollicité l'instauration d'un contrôle spécial. Soumise au vote de l'assemblée, cette demande a été rejetée. c) La requérante détient 40 % du capital-actions de l’intimée. Elle a ouvert action avant l'échéance du délai de trois mois à compter de l'issue de l'assemblée générale du 17 juin 2021 lors de laquelle elle prétend ne pas avoir obtenu de réponses satisfaisantes à ses questions.</w:t>
      </w:r>
    </w:p>
    <w:p>
      <w:r>
        <w:t>Les conditions de forme posées par l'art. 697b al. 1 CO sont ainsi réalisées, ce qui n’est par ailleurs pas contesté par l’intimée. IV. a) Le droit à l’information est l’un des droits fondamentaux de l’actionnaire. Ce droit à l’information est composé de trois paliers : en premier lieu, la communication spontanée des rapports de gestion et de révision (art. 696 CO), puis le droit d’être renseigné sur les affaires de la société (art. 697 CO) et enfin, le droit de demander l’institution d’un contrôle spécial (art. 697a ss CO). De tels droits à l’information de l’actionnaire subsistent en cas d’insolvabilité et/ou de faillite ou de procédure concordataire. Outre les trois paliers susmentionnés, l’actionnaire est titulaire de deux autres droits aux renseignements, plus ponctuels cette fois-ci : le droit de consulter le procès-verbal de l’assemblée générale (art. 702 al. 3 CO), par exemple en vue d’une action en annulation, et le droit d’être informé par écrit au sujet de l’organisation de la gestion (art. 716b al. 2 CO). Cette dernière disposition permet de connaître précisément l’attribution des compétences au sein de la haute direction, et de savoir, le cas échéant, contre qui ouvrir une action en responsabilité (art. 754 CO). Le droit à l’information de l’actionnaire s’articule ainsi essentiellement autour de l’assemblée générale : l’actionnaire doit recevoir le rapport de gestion et révision au plus tard vingt jours avant la tenue de l’assemblée générale, et c’est seulement au cours de cette dernière qu’il est en droit de demander des renseignements sur les affaires de la société ou requérir l’institution d’un contrôle spécial. L’obtention rapide d’informations est donc hors de question. Cela peut se révéler malvenu pour l’investisseur, notamment lorsqu’il s’agit d’un investissement en capital-risque, où le facteur temps est déterminant. Le Tribunal fédéral a d’ailleurs pris certaines positions particulièrement favorables aux actionnaires, rendant plusieurs décisions et améliorant sensiblement la protection de leurs droits patrimoniaux et sociaux, en particulier les droits à l’information. La protection du sociétariat minoritaire est un principe fondamental du droit des sociétés qu’il n’est</w:t>
      </w:r>
    </w:p>
    <w:p>
      <w:r>
        <w:t>pas criticable de garantir, même si cela peut se faire parfois au fort détriment de l’actionnaire majoritaire et qu’aucune base légale ne prévoit ce principe (DuPasquier, Le droit aux renseignements de l’investisseur, in REPRAX 1/2020, pp. 30 ss). b) Tout comme la demande de renseignements et de consultation, le contrôle spécial est un moyen offert aux actionnaires pour obtenir des informations sur les affaires de la société, afin de leur permettre de faire usage de leurs droits en toute connaissance de cause (ATF 138 III 252 consid. 3.1; ATF 133 III 180 consid. 3.4, JdT 2010 I 239, SJ 2007 p. 1193; ATF 123 III 261 consid. 2a, JdT 1999 I 27; ATF 120 II 393 consid. 4, JdT 1995 I 571 et les références citées). Le contrôle spécial est subsidiaire en ce sens que l'actionnaire doit s'efforcer d'obtenir les informations qu'il souhaite en faisant valoir son droit aux renseignements et à la consultation des livres et de la correspondance, tel qu'il est prévu par l'art. 697 CO. Il doit donc tout d'abord formuler ses questions avec une certaine précision et les adresser au conseil d'administration lors de l'assemblée générale; les questions posées doivent correspondre, au moins dans les grandes lignes, à celles pour lesquelles le contrôle spécial est ensuite demandé; s'il n'obtient pas de réponse satisfaisante, l'actionnaire n'est pas obligé de s'adresser au juge selon la voie de l'art. 697 al. 4 CO et il peut choisir alternativement de demander un contrôle spécial (ATF 138 III 252 consid. 3.1; ATF 133 III 133 consid. 3.2, JdT 2007 I 296, SJ 2007 I 349 et les auteurs cités; ATF 123 III 261 consid. 3a ; CCiv CS18.041425 du 29 janvier 2019). Pour que le juge institue un contrôle spécial au sens de l'art. 697b CO, il faut que le ou les requérants rendent vraisemblable que des fondateurs ou des organes ont violé la loi ou les statuts et qu'ils ont ainsi causé un préjudice à la société ou aux actionnaires (art. 697b al. 2 CO). Les faits à élucider doivent être nécessaires à l’exercice de droits des actionnaires : c’est notamment le cas s’ils sont pertinents pour</w:t>
      </w:r>
    </w:p>
    <w:p>
      <w:r>
        <w:t>l’introduction d’une action en responsabilité ou pour l’exercice des droits sociaux. La violation des statuts ou de la loi ainsi que le dommage qu’il appartient au demandeur de rendre vraisemblables doivent être en relation avec les faits objets de la requête de contrôle spécial. Une preuve stricte n’est pas requise du demandeur, mais celui-ci ne peut pas se contenter de simples affirmations dépourvues d’un minimum d’ancrage concret. La motivation de la requête de contrôle spécial doit être dotée de chances de succès raisonnables (einigermassen aussichtsreich) ou apparaître au moins soutenable, sur la base d’un examen sommaire (Philippin, 1. Sociétés commerciales (sauf responsabilité des organes), in Not@lex 2014, pp. 132 ss). Le manque d’information du requérant se manifeste ainsi : il doit présenter comme vraisemblable au juge ce qu’il ne peut généralement que supposer et qu’il ne sait précisément pas. Cette vraisemblance constitue cependant le point d’ancrage de la procédure de contrôle spécial et empêche l’abus procédurier (Von Büren/Stoffel/Weber, Grundriss des Aktienrechts, 3e éd. 2011, n. 945). Si le juge formule des exigences trop élevées à l’égard de la plausibilité d’un préjudice, le but et la finalité du contrôle spécial restent lettre morte ; si elles sont trop faibles, l’intention du législateur est contournée (Von der Crone, Aktienrecht, 2014, § 8 n. 133). Ainsi, en exigeant du demandeur qu’il rende vraisemblable une violation de la loi ou des statuts, le législateur a montré tout d’abord qu’il n’exigeait pas que l’actionnaire apporte déjà des preuves, ce qui réduirait excessivement les possibilités d’obtenir une telle mesure et paraîtrait même contradictoire, puisque le contrôle spécial tend précisément à fournir des preuves ; d’un autre côté, le législateur a indiqué, en exigeant qu’une vraisemblance soit établie, qu’il ne suffit pas que l’actionnaire ne fasse qu’affirmer ou soupçonner, sans aucun indice sérieux, pour entraîner une mesure aussi lourde que le contrôle spécial qui instaure un climat de méfiance à l’intérieur de la société (ATF 138 III 252 consid. 3.1 ; ATF 120 II 393 consid. 4c; TF 4A_215/2010 du 27 juillet 2010 consid. 3.1.3, rés. in SJ</w:t>
      </w:r>
    </w:p>
    <w:p>
      <w:r>
        <w:t>2010 I 554) Le contrôle spécial doit en outre répondre à un intérêt actuel et digne de protection; il ne peut donc pas porter sur des faits déjà connus. Il doit avoir pour objet des informations utiles pour permettre à l'actionnaire d'exercer ses droits, en particulier d'intenter une action en responsabilité contre les organes sociaux (ATF 138 III 252 consid. 3.1; ATF 123 III 261 consid. 4a). Le contrôle spécial doit tendre à établir des faits déterminés; il n'est pas admissible de demander un examen à des fins purement exploratoires dans l'espoir de découvrir des irrégularités dont le requérant ne sait rien (ATF 138 III 252 consid. 3.1 et les références citées). La limitation à l’examen des faits interdit au contrôle spécial de porter une appréciation sur les objets examinés. D’une part, cette limitation implique que le contrôleur ne peut pas définir la portée juridique de faits examinés. Notamment, il ne lui est pas possible de déterminer si des actes contraires à la loi ou aux statuts ont été commis. Afin de distinguer entre des questions de fait et de droit, il y a lieu de se référer à la distinction opérée en procédure civile. D’autre part, le contrôleur ne peut formuler des jugements de valeur. Il en découle qu’il ne peut pas émettre des hypothèses, sur des faits passés, actuels ou futurs, ou interpréter les questions posées par les actionnaires. De même, il ne saurait examiner l’opportunité de la gestion en général ou de certains actes des organes de la société. En pratique, il en découle par exemple que la comptabilité peut faire l’objet d’un contrôle spécial tant que ce dernier concerne des faits précis, alors qu’une vérification générale de toute la comptabilité n'est pas possible (Pedrazzini, Commentaire romand, Code des obligations II, 2ème éd., nn. 9-10 ad art. 697a CO). Le contrôle spécial ne peut pas non plus avoir pour but de procéder à un examen complet des comptes en se substituant à l'organe de révision (ATF 133 III 453 consid. 7.5). Ainsi, même s'il appartient aux actionnaires de décider dans quelle mesure ils sont satisfaits ou non des informations communiquées, l'on ne saurait conclure à l'existence d'un intérêt actuel et digne de protection si les faits devant faire l'objet d'un contrôle spécial</w:t>
      </w:r>
    </w:p>
    <w:p>
      <w:r>
        <w:t>sont déjà connus grâce aux informations délivrées par le conseil d'administration. On reconnaîtra par contre l'existence d'un intérêt si le conseil d'administration a donné une réponse incomplète ou fausse lors de l'assemblée générale. Le requérant doit rendre vraisemblable que des doutes subsistent par rapport aux informations fournies par le conseil d'administration (TF 4A_215/2010 du 27 juillet 2010 consid. 3.1.2). Dans le cas où un contrôle spécial est institué, le juge charge un ou des experts indépendants de l’exécution du contrôle et définit l’objet de celui-ci dans les limites de la requête (art. 697c CO). Les fondateurs, les organes, les mandataires, les travailleurs, les curateurs et les liquidateurs sont tenus de renseigner le contrôleur spécial sur les faits importants, puis ce dernier entend la société sur le résultat du contrôle spécial (art. 697d CO). Il rend ensuite compte du résultat de son contrôle de manière détaillée, tout en sauvegardant le secret des affaires et présente son rapport au juge. Celui-ci transmet le rapport à la société qui, le cas échéant, lui indique les passages du rapport qui portent atteinte au secret des affaires ou à d’autres intérêts sociaux dignes de protection; il décide si ces passages doivent de ce fait être soustraits à la consultation des requérants. Le juge donne en outre l’occasion à la société et aux requérants de prendre position sur le rapport épuré et de poser des questions supplémentaires (art. 697e CO). Selon l’art. 697f CO, le conseil d’administration soumet le rapport et les prises de position à l’assemblée générale suivante. Tout actionnaire peut alors, dans l’année qui suit l’assemblée générale, exiger de la société un exemplaire du rapport et des prises de position. S’agissant des frais relatifs au contrôle spécial, si le juge agrée la requête tendant à désigner un contrôleur spécial, il met l’avance et les frais à la charge de la société ; toutefois, si des circonstances particulières le justifient, il peut mettre tout ou partie des frais à la charge des requérants. Dans le cas où l’assemblée générale a consenti au contrôle spécial, la société en supporte les frais (art. 697g CO).</w:t>
      </w:r>
    </w:p>
    <w:p>
      <w:r>
        <w:t>En définitive, pour que le tribunal ordonne un contrôle spécial, le requérant doit solliciter une information qui n’est pas contenue dans les rapports de gestion et/ou de révision, respectivement rendre vraisemblable qu’une information qui y serait mentionnée serait erronée ou incomplète et rendre vraisemblable que l’information n’est pas couverte par le secret d’affaires. Il doit en outre solliciter celle-ci avec suffisamment de précision pour exclure une action exploratoire. Enfin, il doit justifier d’un intérêt actuel et digne de protection à l’obtention de l’information, lequel se concrétise d’une part par le fait que l’information se révélerait nécessaire à l’exercice de ses droits d’actionnaire et d’autre part par l’exclusion d’une éventuelle volonté de nuire à la société. c) aa) En l'espèce, deux des questions posées dans le cadre de la requête du 17 septembre 2021 correspondent aux questions posées lors de l’assemblée générale du 17 juin 2021 (la conclusion 5a. de la requête relative à la valorisation des droits de propriété intellectuelle correspond à la question 1 soumise à l’assemblée générale et la conclusion 5c. de la requête relative à la comptabilisation des prestations de la société sous-traitante correspond à la question 2 soumise à l’assemblée générale) et au sujet desquelles le contrôle spécial a alors été refusé. En revanche, les conclusions 5b. (relative aux mesures de protection des droits de propriété intellectuelle), 5d. (relative à l’existence des prestations effectuées par la société sous-traitante), 5e. (relative à la conformité des montants facturés pour des prestations similaires effectuées par des acteurs indépendants sur le marché), 5f. (relative au bénéficiaire des factures concernées par dites prestations) et 5g. (relative aux mesures prises afin d’éviter les éventuels conflits d’intérêts entre la société sous-traitante et l’intimée), dont certaines ont encore été complétées lors de l’audience du 23 novembre 2021, ne figuraient pas dans le courrier de la requérante du 20 mai 2021 et n’ont pas été soumises à l’assemblée générale du 17 juin 2021. La requérante soutient qu’il faut avoir la réponse à ces</w:t>
      </w:r>
    </w:p>
    <w:p>
      <w:r>
        <w:t>questions (conclusions 5b. et 5d. à 5g.) pour pouvoir répondre de manière appropriée aux deux questions de base (conclusions 5a. et 5c.). En effet, selon elle, l’absence de protection des droits de propriété intellectuelle implique que tout tiers pourrait librement les utiliser, ce qui influe sur la valeur de dite propriété intellectuelle ainsi que sur sa comptabilisation. Elle prétend également que l’existence de prestations effectivement réalisées influe sur le montant effectivement dû et sa comptabilisation. En outre, elle relève qu’au vu de la proximité entre l’intimée et la société sous-traitante, il faut savoir si les prestations en cause et leur montant sont conformes au marché et quelles mesures ont été prises pour prévenir et remédier à tout risque de conflits d’intérêts, ce qui permettrait de déterminer si des prestations inutiles ont été commandées ou surfacturées, et qui pourrait également avoir un impact sur la comptabilité de l’intimée. Il apparaît toutefois que ces questions complémentaires excèdent la portée de la demande de renseignements et de la demande d’institution d’un contrôle spécial soumise à l’assemblée générale. On ne saurait considérer qu’elles correspondent, même dans les grandes lignes, aux questions précises posées lors de l’assemblée générale et pour lesquelles le contrôle spécial a été refusé. La requérante s’appuie bien plutôt sur les réponses données alors par l’intimée pour obtenir des informations supplémentaires par digression. Ces questions ne peuvent être introduites ici dans le cadre de la présente procédure et doivent dès lors être écartées. Seules les questions correspondant aux conclusions 5a. et 5c. de la requête seront donc examinées ci-dessous. Avant de procéder à cette analyse, il convient de relever que l’intimée a quand même repris chacune des questions posées par la requérante au pied de sa requête du 17 septembre 2021 et y a répondu dans un courrier du 3 novembre 2021 adressé à [...], avec copie au conseil de la requérante. Cette dernière a donc obtenu des réponses à ces questions</w:t>
      </w:r>
    </w:p>
    <w:p>
      <w:r>
        <w:t>complémentaires après le dépôt de la requête en instauration d’un contrôle spécial. bb) Il convient d'examiner, pour les deux questions posées lors de l'assemblée générale du 17 juin 2021 et reprises dans les conclusions de la requête du 17 septembre 2021, si les conditions légales pour l’instauration d’un contrôle spécial sont réalisées. Concernant la question relative à l’absence de valorisation des droits de propriété intellectuelle, la requérante considère que la réponse donnée (le principe de prudence aurait été appliqué par l’intimée dans la présentation de ses comptes afin de ne pas prendre le risque de présenter une situation financière comme artificiellement trop favorable avant que la plateforme ne soit pleinement opérationnelle et de nature à générer des redevances de licences auprès de tiers) est incomplète, insatisfaisante et fausse, puisqu’elle omettrait de prendre en considération le principe d’intégralité qui commande une présentation complète des comptes (art. 958c CO). Selon elle, ce principe implique que la propriété intellectuelle soit comptabilisée à l’actif (art. 959a al. 1 ch. 2 let. d CO) à un montant pouvant être estimé à 27'000'000 francs. Concernant la question relative à l’absence de comptabilisation des créances de la société sous-traitante envers l’intimée, la requérante considère que la réponse donnée (la société sous- traitante a accepté de surseoir à la facturation de ses prestations afin d’éviter de surcharger les comptes de charges de l’intimée tant que celle- ci ne générait pas de revenus au titre de la vente de licences et/ou d’autres prestations ou services à des clients tiers et tant que les contributions des différentes parties à la prise en charge des coûts complémentaires n’avaient pas été formalisées) est insatisfaisante, incomplète et fausse, puisque le principe d’intégralité commande que les biens et prestations déjà reçus soient inscrits dans les comptes même s’ils ne sont pas encore facturés. Selon elle, ce principe implique que ces</w:t>
      </w:r>
    </w:p>
    <w:p>
      <w:r>
        <w:t>prestations soient comptabilisées dans les passifs de régularisation (art. 959a al. 2 ch. a let. d CO) à un montant de 19'000'000 francs. Il apparaît que la raison de l’absence de ces éléments au bilan de l’intimée a été soumise à cette dernière, laquelle a justifié sa prise de position. D’après la requérante, cette justification est insatisfaisante, incomplète et fausse pour des motifs juridiques, puisque l’inscription de ces éléments devrait figurer dans les comptes selon les dispositions applicables du Code suisse des obligations. Même s’il est possible de soumettre au contrôle spécial certains points de comptabilité précis tels que des listes de créanciers/débiteurs ou des montants de factures par exemple, il n’est en revanche pas envisageable de le faire procéder à une vérification générale de toute la comptabilité, ni de lui demander de se substituer à l'organe de révision - qui a en l’occurrence examiné les comptes sans émettre de réserve à ce sujet -, ni de lui demander de se prononcer sur la pertinence d’une décision de ne pas porter un élément au bilan. Cela reviendrait alors à lui demander de vérifier la conformité juridique de cette décision et d’en apprécier l’opportunité, alors que ce n’est pas son rôle. Il ne peut en effet pas définir la portée juridique de faits examinés, ni déterminer si des actes contraires à la loi ou aux statuts ont été commis par des organes de la société. Les deux questions objet de la présente procédure sortent donc du champ du contrôle spécial. Compte tenu de l’absence de réalisation de cette conditions d’application des dispositions relatives à l'instauration d'un contrôle spécial, il n’y a pas lieu d’examiner les conditions de vraisemblance d’une violation légale ou statutaire et de l’existence d’un dommage. En définitive, les conditions de mise en œuvre d'un contrôle spécial ne sont pas réunies. La requête du 17 septembre 2021 doit par</w:t>
      </w:r>
    </w:p>
    <w:p>
      <w:r>
        <w:t>conséquent être rejetée. V. a) En vertu de l'art. 106 al. 1 première phrase CPC, les frais, qui comprennent les frais judiciaires et les dépens (art. 95 al. 1 CPC) sont mis à la charge de la partie succombante. Les dépens comprennent les débours nécessaires et le défraiement d'un représentant professionnel (art. 95 al. 3 let. a et b CPC). Les débours nécessaires, qui incluent notamment les frais de déplacement, de téléphone, de port et de copie sont estimés, sauf élément contraire, à 5% du défraiement du représentant professionnel et s'ajoutent à celui-ci (art. 19 TDC – tarif du 13 novembre 2010 des dépens en matière civile; BLV 270.11.6). b) En l’espèce, les frais judiciaires, arrêtés à 3’100 fr. (art. 28, 87 et 88 TFJC – tarif des frais judiciaires en matière civile du 28 septembre 2010; BLV 270.11.5), doivent être mis à la charge de la requérante qui succombe. En outre, celle-ci versera des dépens à l'intimée, qu'il convient d'arrêter à 5’000 fr., débours en sus par 350 fr. (art. 3, 6 et 19 TDC). * * * * * Par ces motifs, le Juge délégué de la Cour civile, statuant à huis clos, pro no nce : I. Les conclusions prises par la requérante P.________ dans sa requête déposée le 17 septembre 2021, sont rejetées. II. Les frais de la procédure sont arrêtés à 3’100 fr. (trois mille cent francs) pour la requérante.</w:t>
      </w:r>
    </w:p>
    <w:p>
      <w:r>
        <w:t>III. La requérante versera à l'intimée Z.________ le montant de 5’350 fr. (cinq mille trois cent cinquante francs) à titre de dépens. Le juge délégué : La greffière : J.-F. Meylan M. Bron Du Le jugement qui précède, lu et approuvé à huis clos, est notifié, par l'envoi de photocopies, aux conseils des parties. Le présent jugement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M. Bron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