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CO10.024140 vom 27. Juni 2011</w:t>
      </w:r>
    </w:p>
    <w:p>
      <w:r>
        <w:t>VD Tribunal cantonal, 2011-06-27, FR</w:t>
      </w:r>
    </w:p>
    <w:p>
      <w:r>
        <w:rPr>
          <w:b/>
        </w:rPr>
        <w:t xml:space="preserve">Quelle: </w:t>
      </w:r>
      <w:r>
        <w:t>https://mcp.opencaselaw.ch/entscheid/vd_gerichte_CO10.024140</w:t>
      </w:r>
    </w:p>
    <w:p>
      <w:r>
        <w:t>FR: VD_GERICHTE CO10.024140 du 27 juin 2011</w:t>
      </w:r>
    </w:p>
    <w:p>
      <w:r>
        <w:t>IT: VD_GERICHTE CO10.024140 del 27 giugno 2011</w:t>
      </w:r>
    </w:p>
    <w:p>
      <w:pPr>
        <w:pStyle w:val="Heading2"/>
      </w:pPr>
      <w:r>
        <w:t>Erwägungen</w:t>
      </w:r>
    </w:p>
    <w:p>
      <w:r>
        <w:rPr>
          <w:b/>
        </w:rPr>
        <w:t>E. 31</w:t>
      </w:r>
    </w:p>
    <w:p>
      <w:r>
        <w:t>octobre 2002/446 c. IIc),</w:t>
      </w:r>
    </w:p>
    <w:p>
      <w:r>
        <w:t>- 12 - qu'ainsi, si la cédule est détenue au titre de nantissement, le possesseur, qui ne jouit que d'un droit réel limité sur ce titre, n'est en principe pas titulaire de la créance incorporée dans le titre (TF 5C.249/2004 du 2 mars 2005; Favre/Liniger, op. cit., pp. 104-105), qu'en l'occurrence, la Cour des poursuites et faillites a constaté définitivement qu'à l'époque de sa décision, la défenderesse détenait le titre hypothécaire en nantissement et n'en était pas devenue propriétaire, que la défenderesse entend faire valoir l'acquisition du titre en pleine propriété après une poursuite en réalisation de gage mobilier (all. 75 et 76), que la conclusion reconventionnelle litigieuse est dès lors à tout le moins fondée sur un fait nouveau pertinent, qu'au vu de ce qui précède, la condition de l'identité d'objet n'est pas remplie, qu'en conséquence, l'exception de chose jugée soulevée par les requérants doit être rejetée; attendu que les frais de la procédure incidente, arrêtés à 900 fr., doivent être mis à la charge des requérants, solidairement entre eux (art. 4 al. 1, 5 et 170a al. 1 du tarif du 4 décembre 1984 des frais judiciaires en matière civile, applicable par renvoi de l'art. 99 al. 1 TFJC [Tarif des frais judiciaires civils du 28 septembre 2010; RSV 270.11.5]), qu'en matière incidente, le juge statue sur les dépens comme en matière de jugement au fond (art. 150 al. 2 CPC-VD), que les dépens sont alloués à la partie qui a obtenu l'adjudication de ses conclusions (art. 92 al. 1 CPC-VD),</w:t>
      </w:r>
    </w:p>
    <w:p>
      <w:r>
        <w:t>- 13 - que ceux-ci comprennent principalement les frais de justice, les honoraires et les débours d'avocat (art. 91 let. a et c CPC-VD), que les honoraires d'avocat sont fixés selon le tarif du 17 juin 1986 des honoraires d'avocats dus à titre de dépens (art. 2 al. 1 ch. 11 de ce tarif, applicable par renvoi de l'art. 26 al. 2 TDC [Tarif des dépens en matière civile]; RSV 270.11.6), qu'en l'espèce, l'intimée Y.________SA, qui s'est opposée avec succès à la requête incidente et était représentée par un avocat, a droit à des dépens, qu'il convient d'arrêter à 2'000 fr., à la charge des requérants. Par ces motifs, le juge instructeur, statuant à huis clos et par voie incidente, pro no nce : I. La requête incidente déposée le 6 mai 2011 par les requérants A.P.________, B.P.________, C.P.________ et D.P.________, est rejetée. II. Les frais de la procédure incidente sont arrêtés à 900 fr. (neuf cents francs) pour les requérants, solidairement entre eux. III. Les requérants, solidairement entre eux, verseront à l'intimée Y.________SA le montant de 2'000 fr. (deux milles francs) à titre de dépens. Le juge instructeur : La greffière : P. - Y. Bosshard E. Umulisa Musaby</w:t>
      </w:r>
    </w:p>
    <w:p>
      <w:r>
        <w:t>- 14 - Du Le jugement qui précède, dont le dispositif a été expédié pour notification le 13 juillet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