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CO09.022498 vom 27. Januar 2010</w:t>
      </w:r>
    </w:p>
    <w:p>
      <w:r>
        <w:t>VD Tribunal cantonal, 2010-01-27, FR</w:t>
      </w:r>
    </w:p>
    <w:p>
      <w:r>
        <w:rPr>
          <w:b/>
        </w:rPr>
        <w:t xml:space="preserve">Quelle: </w:t>
      </w:r>
      <w:r>
        <w:t>https://mcp.opencaselaw.ch/entscheid/vd_gerichte_CO09.022498</w:t>
      </w:r>
    </w:p>
    <w:p>
      <w:r>
        <w:t>FR: VD_GERICHTE CO09.022498 du 27 janvier 2010</w:t>
      </w:r>
    </w:p>
    <w:p>
      <w:r>
        <w:t>IT: VD_GERICHTE CO09.022498 del 27 gennaio 2010</w:t>
      </w:r>
    </w:p>
    <w:p>
      <w:pPr>
        <w:pStyle w:val="Heading2"/>
      </w:pPr>
      <w:r>
        <w:t>Erwägungen</w:t>
      </w:r>
    </w:p>
    <w:p>
      <w:r>
        <w:rPr>
          <w:b/>
        </w:rPr>
        <w:t>E. 1</w:t>
      </w:r>
    </w:p>
    <w:p>
      <w:r>
        <w:t>Invalider les expertises des 4 février, 10 mars et 25 mai 2009.</w:t>
      </w:r>
    </w:p>
    <w:p>
      <w:r>
        <w:rPr>
          <w:b/>
        </w:rPr>
        <w:t>E. 2</w:t>
      </w:r>
    </w:p>
    <w:p>
      <w:r>
        <w:t>Ecarter du dossier les expertises des 4 février, 10 mars et 25 mai 2009.</w:t>
      </w:r>
    </w:p>
    <w:p>
      <w:r>
        <w:rPr>
          <w:b/>
        </w:rPr>
        <w:t>E. 3</w:t>
      </w:r>
    </w:p>
    <w:p>
      <w:r>
        <w:t>Nommer un expert conformément aux règles de procédure civile vaudoise. 1007</w:t>
      </w:r>
    </w:p>
    <w:p>
      <w:r>
        <w:t>- 2 - Principalement :</w:t>
      </w:r>
    </w:p>
    <w:p>
      <w:r>
        <w:rPr>
          <w:b/>
        </w:rPr>
        <w:t>E. 4</w:t>
      </w:r>
    </w:p>
    <w:p>
      <w:r>
        <w:t>Condamner T.________ SA à payer à G.________ SA la somme de Fr. 1'182'960.60 plus intérêt à 5% l'an dès le dépôt de la présente.</w:t>
      </w:r>
    </w:p>
    <w:p>
      <w:r>
        <w:rPr>
          <w:b/>
        </w:rPr>
        <w:t>E. 5</w:t>
      </w:r>
    </w:p>
    <w:p>
      <w:r>
        <w:t>Condamner la défenderesse aux frais et dépens de l'incident." vu l'avis du juge instructeur du 8 janvier 2010 impartissant un délai à la requérante au 22 janvier 2010 et à l'intimée au 8 février 2010 pour produire un mémoire incident et indiquant qu'à l'échéance de ce délai il statuera sans plus ample instruction en application de l'art. 149 al. 4 CPC, vu les mémoires incidents déposés le 19 janvier 2010 par la requérante et le 26 janvier 2010 par l'intimée,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w:t>
      </w:r>
    </w:p>
    <w:p>
      <w:r>
        <w:t>- 5 - (Poudret/Haldy/Tappy, Procédure civile vaudoise, 3ème éd., n. 1 ad art. 56 CPC et n. 7 ad art. 57 CPC; Bonard, Les sanctions des règles de compétence, thèse, p. 21), que lorsque l'incompétence du juge résulte d'une convention d'arbitrage régie par le Concordat sur l'arbitrage du 27 août 1969 (C-Arb – RSV 278.91), le déclinatoire d'office s'impose en vertu de l'art. 57 al. 1 CPC, à moins que le défendeur n'ait procédé au fond sans contester la voie judiciaire (exception d'arbitrage), auquel cas il est censé avoir renoncé à l'arbitrage (Poudret/Haldy/Tappy, op. cit., n. 4 ad art. 57 CPC), que l'art. 58 CPC prévoit que le déclinatoire doit être opposé avant toute défense au fond et préalablement à toute exception de procédure (al. 1) et que le défendeur doit le soulever dans le délai de réponse (al. 2), que selon l'art. 61 al. 1 CPC, si le déclinatoire est prononcé parce que la cause ne relève pas d'une autorité judiciaire du canton ou en raison d'une violation de la loi fédérale sur les fors, le demandeur est éconduit d'instance, l'art. 34 al. 2 LFors étant réservé, que c'est en particulier le cas lorsque la cause relève d'une juridiction arbitrale (Poudret/Haldy/Tappy, op. cit. n. 2 ad art. 61 CPC et la réf. citée), que la requérante a soulevé le déclinatoire dans le délai de réponse fixé et prolongé, avant toute défense au fond, que la requête est en conséquence déposée en temps utile, qu'elle respecte les conditions fixées par les art. 19 et 147 CPC, qu'elle est donc recevable en la forme;</w:t>
      </w:r>
    </w:p>
    <w:p>
      <w:r>
        <w:t>- 6 - attendu que les conclusions prises par l'intimée, demanderesse au fond, se fondent sur un contrat d'entreprise générale conclu entre les parties le 20 décembre 2005, que ce contrat prévoit à son art. 22 intitulé "Litiges et for juridique" que : "Tous différends découlant du présent contrat seront tranchés exclusivement par la voie de l'arbitrage. Préalablement à la procédure arbitrale, le différend devra avoir impérativement fait l'objet d'une tentative de conciliation. Le conciliateur et son suppléant seront nommés d'entente entre parties et à défaut d'entente par le séminaire du droit de la construction à Fribourg. Si aucune conciliation n'intervient dans le délai de trente jours dès le moment où le conciliateur aura été saisi, la partie la plus diligente pourra introduire la procédure arbitrale. Le siège du Tribunal arbitral est à Lausanne. La partie demanderesse notifiera sa demande d'arbitrage par écrit sous pli recommandé à la partie défenderesse, en désignant simultanément son arbitre. La partie défenderesse répondra par écrit et sous pli recommandé dans un délai de 30 jours, dès réception de la demande, en désignant à son tour son arbitre. Les deux arbitres ainsi désignés éliront dans un délai de 20 jours le troisième arbitre qui présidera le Tribunal arbitral. Tout arbitre non désigné dans les délais indiqués ci-dessus sera nommé par l'autorité compétente du siège de l'arbitrage, à la requête de la partie la plus diligente ou à celle des arbitres désignés. La procédure sera déterminée par les parties ou, à défaut, par le Tribunal arbitral. Les honoraires des arbitres seront calculés en conformité du barème fixé par le règlement d'arbitrage de la Chambre de commerce et de l'industrie de Genève. Ils seront avancés par moitié par chacune des parties, leurs sorts suivant celui de la cause au fond. Dans le but de simplifier au maximum la procédure, les parties s'engagent, dans la mesure du possible, à soumettre au Tribunal arbitral leur requête de mesures provisoires et à respecter volontairement les mesures que celui-ci proposera.</w:t>
      </w:r>
    </w:p>
    <w:p>
      <w:r>
        <w:t>- 7 - Pour le surplus, les parties se soumettent au concordat intercantonal sur l'arbitrage de 1969." que les parties ont ultérieurement signé un "compromis d'expertise arbitrage" les 25 et 26 août 2008 qui prévoit notamment ce qui suit : "[…] Les parties se sont rencontrées à Lausanne le 15 juillet et sont convenues, par une procédure simple et rapide, de soumettre leurs divergences à un expert-arbitre unique. Les parties conviennent ainsi de régler définitivement leurs différends en mettant en œuvre une expertise arbitrage au sens de la jurisprudence du Tribunal fédéral, ATF 129 III 535, dont une traduction française (SJ 2004, p. 341ss) est annexée au présent compromis pour en faire partie intégrante. Article 1er Principe Le litige découlant de la validité, de l'interprétation, de la bonne ou mauvaise exécution du contrat d'entreprise générale relative à l'ouvrage "[...]", du 20 décembre 2005 et de ses avenants sera tranché définitivement par un expert-arbitre unique. […] Article 5 Force obligatoire L'expertise liera les parties dans les limites fixées par la jurisprudence, plus spécialement l'arrêt du Tribunal fédéral mentionné dans le préambule et dont la traduction est annexée. […]" que les parties ont désigné l'architecte [...] en qualité d'expert- arbitre,</w:t>
      </w:r>
    </w:p>
    <w:p>
      <w:r>
        <w:t>- 8 - que le 10 mars 2009, celui-ci a établi un premier document intitulé "Rapport d'expertise-arbitrage", qu'il a remis un "Rapport final d'expertise-arbitrage" le 25 mai 2009, que selon l'arrêt de la Chambre des recours du 16 novembre 2009, l'expert-arbitre [...] a aussi remis le même jour un document intitulé "sentence définitive et exécutoire de l'expert-arbitre", que l'intimée a recouru en nullité contre cette "sentence", que, par arrêt du 16 novembre 2009 (CREC, n° 568/I), la Chambre des recours a déclaré ce recours irrecevable au motif que cette "sentence" constitue une expertise-arbitrage, qu'elle ne revêt pas la qualité de sentence arbitrale et n'acquiert ni force de chose jugée, ni caractère exécutoire, que l'intimée soutient que la clause d'arbitrage contenue à l'art. 22 du contrat du 20 décembre 2005 est caduque, en tant qu'elle a été remplacée par un autre mode de règlement du litige soit l'expertise- arbitrage, que l'expertise-arbitrage ou expertise arbitrale est une institution par laquelle les parties chargent, au moyen d'un contrat (qui relève du droit de fond), un tiers, qui est leur mandataire, de donner son avis sur une question de fait ou sur un élément d'un rapport de droit, auquel elles déclarent d'avance se soumettre obligatoirement (Jolidon, Commentaire du concordat suisse sur l'arbitrage, p. 35; ATF 129 III 535 c. 2, SJ 2004 I 341 et les réf. citées), que si l'arbitre exerce une fonction juridictionnelle, l'expert- arbitre accomplit "une mission (qui) n'est jamais, à quelque degré que ce soit, d'ordre juridictionnel" (cf. Jolidon, Réflexions sur l'expertise-arbitrage en droit suisse, in Mélanges Pierre Engel, 1989, pp. 157 ss, 174),</w:t>
      </w:r>
    </w:p>
    <w:p>
      <w:r>
        <w:t>- 9 - que l'expertise-arbitrage n'acquiert ni force de chose jugée, ni caractère exécutoire (Thorens, L'expertise-arbitrage en droit suisse et en droit allemand, in SJ 1968, pp. 601 ss, 603), que les parties ne sont pas liées de manière absolue par les constatations de l'expert-arbitre, mais que le juge peut les revoir lorsqu'il est établi qu'elles sont manifestement déficientes ou contraires à l'équité (Lalive/Poudret/Reymond, Le droit de l'arbitrage interne et international en Suisse, n. 1.2 ad art. 1 C-Arb), qu'il ne faut cependant pas entendre par "juge" l'autorité de recours habituellement compétente pour statuer sur un recours contre une sentence arbitrale au sens de l'art. 3 let. f C-Arb, mais le juge "ordinaire", devant lequel la partie doit ouvrir action (ATF 67 II 146, JT 1941 I 508; ATF 129 III 535, SJ 2004 I 341, relatif à une affaire où un rapport d'expertise- arbitrage avait été attaqué devant le tribunal de première instance de Lucerne; CREC I du 16 novembre 2009, n° 568/I), que lorsque les parties ont passé une convention d'arbitrage, ce juge sera le tribunal arbitral qu'elles ont conventionnellement investi du pouvoir de trancher à la place des juridictions étatiques normalement compétentes, qu'il y a lieu d'examiner si le "compromis d'expertise arbitrage" des 25 et 26 août 2008 a rendu caduque la convention d'arbitrage prévue par l'art. 22 du contrat d'entreprise du 20 décembre 2005, qu'on ne peut établir quelle était la commune et réelle intention des parties lorsqu'elles ont signé ce compromis, que si la volonté réelle des parties ne peut être établie ou si leurs volontés intimes divergent, le juge doit interpréter les déclarations faites et les comportements selon la théorie de la confiance,</w:t>
      </w:r>
    </w:p>
    <w:p>
      <w:r>
        <w:t>- 10 - qu'il doit donc rechercher comment une déclaration ou une attitude pourrait être comprise de bonne foi en fonction de l'ensemble des circonstances, que le principe de la confiance permet ainsi d'imputer à une partie le sens objectif de sa déclaration ou de son comportement, même s'il ne correspond pas à sa volonté intime (ATF 133 III 675 c. 3.3 et les réf. citées), que l'intimée se réfère au préambule du compromis qui prévoit que les parties sont convenues de soumettre leurs divergences à un expert-arbitre par une procédure simple et rapide, qu'elle ajoute que ce préambule mentionne que les parties conviennent ainsi de régler définitivement leurs différends, qu'elle soutient que ce préambule implique que les parties aient décidé de remplacer la convention d'arbitrage du contrat par une expertise-arbitrage, que le fait de convenir de la mise en œuvre d'un expert-arbitre ne rend pas caduque ipso facto une clause arbitrale, l'expert-arbitre n'étant investi d'aucune fonction juridictionnelle, que le "compromis d'expertise arbitrage" des 25 et 26 août 2008 ne fait aucune référence à la convention d'arbitrage figurant à l'art. 22 du contrat d'entreprise du 20 décembre 2005, qu'il ne prévoit en particulier pas la caducité de cet article, qu'une telle caducité ne découle pas de la référence faite dans le compris à l'ATF 129 III 535,</w:t>
      </w:r>
    </w:p>
    <w:p>
      <w:r>
        <w:t>- 11 - que cette référence a pour but de qualifier l'accord entre les parties, en l'espèce une expertise-arbitrage, que l'art. 5 du compromis prévoit que l'expertise liera les parties dans les limites fixées par la jurisprudence, en particulier l'ATF 129 III 535, que l'arrêt précité ne traite pas de la question du juge compétent, en cas de contestation du rapport de l'expert-arbitre, qu'en particulier il ne tranche pas la question de l'effet d'une convention d'expertise-arbitrage sur une convention d'arbitrage préexistante, qu'on ne saurait donc déduire de la référence à cet arrêt, interprété selon le principe de la confiance, qu'elles ont entendu exclure la compétence arbitrale selon l'art. 22 du contrat d'entreprise du 22 décembre 2005 pour contester l'expertise-arbitrage, que le compromis a été signé par les conseils des parties, que l'on peut en conséquence admettre que si l'intention des parties était de supprimer la convention d'arbitrage préexistante, elles l'auraient prévu explicitement, qu'en définitive la convention d'arbitrage n'a pas été rendue caduque par le "compromis d'expertise arbitrage" des 25 et 26 août 2008, que la requête en déclinatoire doit être admise et l'intimée, demanderesse au fond, éconduite d'instance, qu'il n'y a dès lors pas lieu d'examiner les conclusions subsidiaires en litispendance prises par la requérante;</w:t>
      </w:r>
    </w:p>
    <w:p>
      <w:r>
        <w:t>- 12 - attendu que les frais de la procédure incidente doivent être arrêtés à 900 fr. (art. 170a al. 1 TFJC [tarif du 4 décembre 1984 des frais judiciaires en matière civile – RSV 270.11.5]), à la charge de la requérante, que l'intimée étant éconduite d'instance, il y a lieu de statuer sur l'émolument afférent au dépôt de la demande, qu'aux termes de l'art. 155 TFJC, lorsque le procès prend fin avant la fixation de l'audience préliminaire, notamment en cas de déclinatoire, les émoluments de demande et de réponse peuvent être réduits de moitié au maximum compte tenu des travaux effectués par le greffe, qu'au regard des opérations effectuées par le greffe en l'espèce, il y a lieu de réduire l'émolument de demande à 3'457 fr. 40 auxquels seront ajoutés les frais de la requête de suspension de cause déposée par l'intimée par 450 fr., que le jugement incident statue sur les dépens comme en matière de jugement au fond (art. 150 al. 2 CPC), que la requérante, obtenant gain de cause, a droit à des dépens de l'incident (art. 92 al .1 CPC) qui se confondent avec les dépens au fond, la requérante n'ayant pas déposé de réponse, qu'il convient d'arrêter à 2'100 fr. soit : a) 1'200 fr. à titre de participation aux honoraires et débours de son conseil b) 900 fr. en remboursement de l'émolument de l'incident; que la cause doit être rayée du rôle.</w:t>
      </w:r>
    </w:p>
    <w:p>
      <w:r>
        <w:t>- 13 - Par ces motifs, le juge instructeur, statuant à huis clos et par voie incidente, pro no nce : I. La requête de déclinatoire déposée le 20 octobre 2009 par la requérante T.________ SA est admise. II. L'intimée G.________ SA est éconduite de l'instance qu'elle a introduite par demande du 25 juin 2009. III. Les frais de la procédure incidente sont arrêtés à 900 fr. (neuf cents francs) pour la requérante. IV. Les frais de la procédure au fond sont arrêtés à 3'907 fr. 40 (trois mille neuf cent sept francs et quarante centimes) pour l'intimée et demanderesse au fond. V. L'intimée G.________ SA doit verser à la requérante T.________ SA le montant de 2'100 fr. (deux mille cent francs) à titre de dépens de l'incident. VI. La cause est rayée du rôle. Le juge instructeur : Le greffier : J.-L. Colombini S. Segura</w:t>
      </w:r>
    </w:p>
    <w:p>
      <w:r>
        <w:t>- 14 - Du Le jugement qui précède, dont le dispositif a été expédié pour notification le 4 février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