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CO09.005301 vom 10. September 2015</w:t>
      </w:r>
    </w:p>
    <w:p>
      <w:r>
        <w:t>VD Tribunal cantonal, 2015-09-10, FR</w:t>
      </w:r>
    </w:p>
    <w:p>
      <w:r>
        <w:rPr>
          <w:b/>
        </w:rPr>
        <w:t xml:space="preserve">Quelle: </w:t>
      </w:r>
      <w:r>
        <w:t>https://mcp.opencaselaw.ch/entscheid/vd_gerichte_CO09.005301</w:t>
      </w:r>
    </w:p>
    <w:p>
      <w:r>
        <w:t>FR: VD_GERICHTE CO09.005301 du 10 septembre 2015</w:t>
      </w:r>
    </w:p>
    <w:p>
      <w:r>
        <w:t>IT: VD_GERICHTE CO09.005301 del 10 settembre 2015</w:t>
      </w:r>
    </w:p>
    <w:p>
      <w:pPr>
        <w:pStyle w:val="Heading2"/>
      </w:pPr>
      <w:r>
        <w:t>Erwägungen</w:t>
      </w:r>
    </w:p>
    <w:p>
      <w:r>
        <w:rPr>
          <w:b/>
        </w:rPr>
        <w:t>E. 4</w:t>
      </w:r>
    </w:p>
    <w:p>
      <w:r>
        <w:t>L’appelante soutient ensuite que, dans l’hypothèse où les prétentions de l’intimée devaient être considérées comme suffisamment alléguées et prouvées, ses propres conclusions et allégations devraient alors être interprétées «comme une action minutoire avec intérêts compensatoires compte tenu de l’exécution partielle et défectueuse de l’ouvrage », ainsi que cela aurait été confirmé par l’expert dans ses réponses aux allégués 213 et 341. Selon l’appelante, cette action serait fondée sur l’art. 366 al. 2 CO, étant précisé que dès réception du courrier</w:t>
      </w:r>
    </w:p>
    <w:p>
      <w:r>
        <w:t>- 46 - de Q.________Sàrl du 13 juin 2008, elle s’estimait légitimée à considérer que la fixation d’un nouveau délai était inutile, « compte tenu de l’incapacité totale d’I.________SA de donner suite à ses engagements contractuels ». Elle affirme ainsi que l’entier du solde des travaux confiés à E.________Sàrl, soit 357'166 fr. 20 devrait être porté en déduction de toute prétention de l’intimée à son encontre, de sorte que cette dernière serait sa débitrice d’un montant de 107'207 francs. Ainsi que cela a été développé ci-dessus (c. 3.4), il n’est pas établi que les conditions d’une résiliation en vertu de l’art. 366 al. 2 CO étaient réalisées en l’espèce. Au demeurant, les carences de l’intimée ont été précisément analysées, chiffrées et déduites lorsqu’elles étaient justifiées. Ainsi, l’expert a tenu compte, entre autres déductions, d’un montant de 11'010 fr. 30 lié à la mauvaise exécution des raccords sur chapes et d’une pénalité de 118'421 fr. 45 pour le retard accumulé par l’intimée. S’agissant de la déduction opérée en raison des travaux confiés à E.________Sàrl pour finir le chantier, il n’y a pas lieu de s’écarter des considérations de l’expert, reprises par les premiers juges. Seul le prix des travaux de « terminaison » adjugés à E.________Sàrl à hauteur de 37'660 fr. (35'000 fr. + TVA) doit être admis. Comme l’ont relevé les premiers juges à la suite de l’expert, même si le montant de l’adjudication (35'000 fr.) est largement inférieur à celui que l’appelante a finalement versé à E.________Sàrl, une sous-estimation aussi grossière, émanant de professionnels connaissant parfaitement le chantier, ne saurait être reportée en entier sur l’intimée. L’appelante a d’ailleurs elle-même indiqué, dans son courrier du 17 septembre 2008 adressé à E.________Sàrl, que l’adjudication avait été établie « sur la base des visites sur site, avec (…) Monsieur Y.________, Monsieur Q.________ et [E.________Sàrl]. Les plans d’exécution [lui avaient] été remis et commentés ». Dans ce contexte et faute d’avoir pu contrôler les travaux effectués par E.________Sàrl après la mise à l’écart de l’intimée, l’expert n’a pas pu exclure que des travaux supplémentaires aient été effectués par E.________Sàrl, ce qui expliquerait la différence de prix.</w:t>
      </w:r>
    </w:p>
    <w:p>
      <w:r>
        <w:t>- 47 - Pour le surplus, l’appelante, qui n’a pas transmis d’avis des défauts à l’intimée, n’a pas allégué, ni a fortiori établi qu’E.________Sàrl aurait corrigé des travaux défectueux réalisés par cette dernière. C’est donc à juste titre que les premiers juges ont arrêté la valeur des travaux nécessaires à la finalisation du chantier, non exécutés par l’intimée et, partant, devant être déduits du prix contractuel convenu, à 37'660 francs. Par surabondance, même si l’on devait considérer que les conditions d’une exécution par substitution au sens de l’art. 366 al. 2 CO étaient réalisées, cela ne changerait rien à cette appréciation. L’appelante ne pouvait en effet prétendre au paiement par l’intimée de travaux plus étendus que ceux qui étaient nécessaires à l’achèvement de l’ouvrage concerné.</w:t>
      </w:r>
    </w:p>
    <w:p>
      <w:r>
        <w:rPr>
          <w:b/>
        </w:rPr>
        <w:t>E. 5</w:t>
      </w:r>
    </w:p>
    <w:p>
      <w:r>
        <w:t>Enfin, à défaut d’intérêt pour agir, le dernier grief de l’appelante, qui concerne les prétentions de Q.________Sàrl à l’encontre de l’intimée, est infondé. Au demeurant et contrairement à ce que soutient l’appelante, l’expert a retenu que Q.________Sàrl avait droit à une rémunération excédant le forfait convenu de 280'000 fr., dès lors que les travaux constatés ne pouvaient pas être intégralement compris dans celui-ci. Pour fixer le montant dû, l’expert a considéré qu’il convenait d’appliquer le principe des quantités objectives, soit de se fonder sur les seize mille six cent heures de travail effectuées durant la troisième phase des travaux, du 13 mai 2008 au 25 août 2008, étant précisé que ce total avait été contrôlé en détail et corrigé par l’expert. Cette méthode l’a conduit à retenir un montant global de 834'916 fr. 80 TTC. Après déduction des acomptes déjà versés, il en résultait ainsi un solde de 569'695 fr. 80 TTC dû par I.________SA à Q.________Sàrl. Cela étant, on ne voit pas en quoi les considérations des premiers juges, fondées sur les quantités objectives ressortant de</w:t>
      </w:r>
    </w:p>
    <w:p>
      <w:r>
        <w:t>- 48 - l’expertise, relèveraient d’une constatation inexacte des faits, voire auraient enfreint la procédure applicable en l’espèce.</w:t>
      </w:r>
    </w:p>
    <w:p>
      <w:r>
        <w:rPr>
          <w:b/>
        </w:rPr>
        <w:t>E. 6</w:t>
      </w:r>
    </w:p>
    <w:p>
      <w:r>
        <w:t>Au vu de ce qui précède, l’appel doit être rejeté en application de l’art. 312 al. 1 CPC et le jugement entrepris confirmé. Les frais judiciaires, arrêtés à 4'773 fr. (art. 62 al. 1 et 2 TFJC) seront mis à la charge de l’appelante, qui succombe (art. 106 al. 1 CPC). Les intimées n’ayant pas été invitées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