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CO06.025144 vom 13. Mai 2009</w:t>
      </w:r>
    </w:p>
    <w:p>
      <w:r>
        <w:t>VD Tribunal cantonal, 2009-05-13, FR</w:t>
      </w:r>
    </w:p>
    <w:p>
      <w:r>
        <w:rPr>
          <w:b/>
        </w:rPr>
        <w:t xml:space="preserve">Quelle: </w:t>
      </w:r>
      <w:r>
        <w:t>https://mcp.opencaselaw.ch/entscheid/vd_gerichte_CO06.025144</w:t>
      </w:r>
    </w:p>
    <w:p>
      <w:r>
        <w:t>FR: VD_GERICHTE CO06.025144 du 13 mai 2009</w:t>
      </w:r>
    </w:p>
    <w:p>
      <w:r>
        <w:t>IT: VD_GERICHTE CO06.025144 del 13 maggio 2009</w:t>
      </w:r>
    </w:p>
    <w:p>
      <w:pPr>
        <w:pStyle w:val="Heading2"/>
      </w:pPr>
      <w:r>
        <w:t>Erwägungen</w:t>
      </w:r>
    </w:p>
    <w:p>
      <w:r>
        <w:rPr>
          <w:b/>
        </w:rPr>
        <w:t>E. 3</w:t>
      </w:r>
    </w:p>
    <w:p>
      <w:r>
        <w:t>Dans le cadre de l'instruction du recours, le constructeur a présenté un nouveau plan de la voie d'accès, modifiant le tracé de la route, qui n'empièterait ainsi plus sur la parcelle voisine. (…)</w:t>
      </w:r>
    </w:p>
    <w:p>
      <w:r>
        <w:rPr>
          <w:b/>
        </w:rPr>
        <w:t>E. 3.2</w:t>
      </w:r>
    </w:p>
    <w:p>
      <w:r>
        <w:t>(…) Quelle que soit la solution choisie par le constructeur, elle nécessite une modification des plans présentés dans le cadre de la mise à l'enquête, respectivement une modification du permis de conduire délivré. (…) 4.2 Le constructeur a admis dans le cadre de l'instruction du recours d'apporter des modifications au projet mis à l'enquête. Le plan qu'il a présenté, signé par un architecte, prévoit le déplacement de la voie d'accès d'environ 3 mètres 50 pour éviter la parcelle des recourants. Cette modification placée dans son contexte, accès à un parking souterrain de 145 places et à un parking extérieur de 19 places, voie desservant non seulement le bâtiment à construire, mais également d'autres parcelles, dans une zone destinée à se développer, ne saurait être dispensée de toute enquête. En outre, le plan présenté ne précise pas comment sera aménagé le terrain le long de la parcelle no 210. Or, la pente existant à cet endroit nécessitera apparemment la création d'un remblai, et il convient que cet élément soit déterminé avec précision, puisqu'il est susceptible d'affecter la parcelle no 210. La question de la distance aux limites, par rapport aux nouveaux aménagements, devra également être réexaminée. Toutefois, compte tenu du fait que seule cette partie des aménagements extérieurs est contestée, on peut se limiter à une enquête complémentaire, telle qu'elle est prévue à l'art. 72b RATC. Il convient dès lors de réformer la décision attaquée par laquelle la municipalité a délivré le permis de construire, en ce sens que la validité du permis est subordonnée au dépôt de nouveaux plans portant sur la voie d'accès au bâtiment, en particulier au garage souterrain, à la mise en œuvre d'une enquête complémentaire, et au terme de celle-ci, cas échéant, à la délivrance d'un permis complémentaire.</w:t>
      </w:r>
    </w:p>
    <w:p>
      <w:r>
        <w:t>- 9 -</w:t>
      </w:r>
    </w:p>
    <w:p>
      <w:r>
        <w:rPr>
          <w:b/>
        </w:rPr>
        <w:t>E. 5</w:t>
      </w:r>
    </w:p>
    <w:p>
      <w:r>
        <w:t>Il résulte des considérants qui précèdent que le recours est admis. Les recourants qui obtiennent gain de cause avec l'aide de leur conseil ont droit à des dépens. Un émolument judiciaire est mis à la charge du constructeur de la société G.________ SA et de la commune d'I.________. Ils verseront en outre des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