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CM24.009461 vom 26. März 2024</w:t>
      </w:r>
    </w:p>
    <w:p>
      <w:r>
        <w:t>VD Tribunal cantonal, 2024-03-26, FR</w:t>
      </w:r>
    </w:p>
    <w:p>
      <w:r>
        <w:rPr>
          <w:b/>
        </w:rPr>
        <w:t xml:space="preserve">Quelle: </w:t>
      </w:r>
      <w:r>
        <w:t>https://mcp.opencaselaw.ch/entscheid/vd_gerichte_CM24.009461</w:t>
      </w:r>
    </w:p>
    <w:p>
      <w:r>
        <w:t>FR: VD_GERICHTE CM24.009461 du 26 mars 2024</w:t>
      </w:r>
    </w:p>
    <w:p>
      <w:r>
        <w:t>IT: VD_GERICHTE CM24.009461 del 26 marzo 2024</w:t>
      </w:r>
    </w:p>
    <w:p>
      <w:pPr>
        <w:pStyle w:val="Heading2"/>
      </w:pPr>
      <w:r>
        <w:t>Erwägungen</w:t>
      </w:r>
    </w:p>
    <w:p>
      <w:r>
        <w:rPr>
          <w:b/>
        </w:rPr>
        <w:t>E. 15</w:t>
      </w:r>
    </w:p>
    <w:p>
      <w:r>
        <w:t>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 concurrence par celui qu’il débauche (David/Reutter, Schweizerisches Werberecht, 3e éd., Zurich-Bâle-Genève 2015, nn. 1269 ss et l’arrêt</w:t>
      </w:r>
    </w:p>
    <w:p>
      <w:r>
        <w:t>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w:t>
      </w:r>
    </w:p>
    <w:p>
      <w:r>
        <w:t>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incite des travailleurs, mandataires ou auxiliaires à trahir ou à surprendre de tels secrets de leur employeur ou mandant (cf. art. 4 let. a et c LCD), celui qui exploite de façon indue le résultat d’un travail qui lui a été confié, par exemple des offres, des calculs ou des plans (art. 5 let. a LCD), ou encore celui qui exploite ou divulgue des secrets de fabrication ou d'affaires qu'il a surpris ou dont il a eu indûment connaissance d'une autre manière (art. 6 LCD). Les notions de secret de fabrication et de secret d'affaires sont celles que visent les art. 321a al. 4 CO, 4 let. c, 5 et 6 LCD. Les premiers couvrent des connaissances techniques, alors que les seconds se rapportent aux aspects commerciaux de l'entreprise (Aubert in Commentaire romand CO I, 2e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w:t>
      </w:r>
    </w:p>
    <w:p>
      <w:r>
        <w:t>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b) En l’espèce, la requérante, qui est active dans la distribution de produits chimiques (notamment de couleurs, peintures, vernis, émaux et beaux-arts) et qui fait partie du groupe international [...] actif notamment dans la production et le commerce de peintures, a engagé l’intimé, qui travaillait alors pour une entité du groupe [...]. Le contrat de travail du 20 octobre 2017 prévoyait que l’intimé était engagé dès le 1er novembre 2017 en qualité de technico-commercial dans la région du [...] et de [...]. Aucune clause de prohibition de faire concurrence ne figurait dans le document. Dans l’exercice de son activité pour la requérante, l’intimé a eu accès aux bases de données et outil de gestion de la clientèle de la requérante lui permettant notamment de disposer des prix, marges et autres conditions de vente de la société ainsi que d’informations importantes sur les clients collectées par la requérante. Il ressort de l’état de fait que, dans le courant de l’année 2023, l’ambiance au sein de la requérante était difficile et que plusieurs employés envisageaient de quitter la société. C’est ce qu’a fait l’intimé en donnant sa démission le 21 août 2023 pour la fin du mois d’octobre 2023.</w:t>
      </w:r>
    </w:p>
    <w:p>
      <w:r>
        <w:t>Dès le 1er novembre 2023, l’intimé a été engagé par l’intimée, qui est active dans le commerce de peintures, de revêtements muraux et de sols, comme responsable du développement commercial de la société dans la région du [...] et à [...]. Il s’avère qu’à la fin de l’année 2023, deux employés de la requérante, affectés par le départ de l’intimé et démotivés par les perspectives professionnelles au sein de la société, ont postulé auprès de l’intimée et obtenu un poste de travail dans cette entreprise. Les deux autres employés mentionnés à l’allégué 30 dont l’incitation par l’intimé à résilier leur contrat de travail avec la requérante aurait dû être prouvée par leur audition en plus de l’interrogatoire de cette dernière, ne l’a pas été puisque dits employés n’ont pas été entendus. Ainsi, si deux démissions d’employés ont suivi le départ de l’intimé, il ne ressort pas de l’instruction que celui-ci, avec l’appui ou l’instruction de l’intimée, aurait fomenté une opération planifiée et systématique de débauchage de grande envergure auprès des employés de la requérante afin de la paralyser et de l’affaiblir, contrairement à ce que celle-ci allègue. Il apparaît bien plutôt que les deux employés concernés, qui avaient noué des relations personnelles voire amicales avec l’intimé durant leur activité pour la requérante, ont décidé d’eux-mêmes de mettre un terme à leur contrat de travail, ceci en bonne et due forme. S’agissant du fournisseur de la requérante, il apparaît que, dans le cadre de son activité pour l’intimée, l’intimé a approché le directeur de la société [...], qu’il connaissait déjà, afin de se renseigner sur les nouveautés proposées par cette entreprise. Il s’avère que celle-ci ne travaille pas à l’exclusivité et que sa politique est de laisser le choix de l’entreprise au client, ce que son directeur a confirmé lors de son audition. L’allégation de la requérante selon laquelle le projet de l’intimé consisterait à ce que ledit fournisseur mette un terme à ses livraisons à la requérante et dirige sa production exclusivement vers l’intimée afin que celle-ci récupère la clientèle des produits [...] n’est donc pas établie.</w:t>
      </w:r>
    </w:p>
    <w:p>
      <w:r>
        <w:t>Concernant les clients [...], [...], [...] et [...] (all. 39 ss) que l’intimé aurait incités pour qu’ils mettent un terme à leur relation avec la requérante et passent désormais des commandes auprès de l’intimée, ni leur existence en tant que clients de la requérante, ni les circonstances de fait alléguées par celle-ci ne sont prouvés. En effet, la requérante se contente d’offrir la pièce 9 (extrait d’une liste préparée par ses propres soins) pour prouver qu’ils figurent parmi ses clients et d’offrir son propre interrogatoire pour prouver leur débauchage par les intimés. Il en est de même d’un prétendu client genevois de la requérante dont l’identité n’est pas révélée et que seul l’interrogatoire de la requérante était à nouveau censé prouver les allégations relatives à son débauchage par les intimés. La requérante échoue donc à démontrer quels clients seraient concernés, quelles seraient les circonstances de la perte de ceux-ci et quels documents relatifs à sa clientèle seraient en possession de l’intimé. S’agissant du prétendu dénigrement de la requérante par celui-ci, cette dernière allègue simplement qu’« il ne peut à ce stade être exclu qu’[il] dénigre la requérante dans le cadre de ses tentatives de débauchage ». Cela n’est pas suffisant, même à l’aune de la vraisemblance. Au vu de ce qui précède, la requérante n’a donc pas réussi à démontrer que le comportement des intimés pourrait être qualifié de déloyal au sens de la LCD. Elle n’a pas établi, au degré requis au stade des mesures provisionnelles, qu'elle serait titulaire d’une prétention au fond, faute notamment de tout acte de concurrence déloyale établi et pouvant être imputé aux intimés. Il n'y a dès lors pas lieu d'examiner si les autres conditions de l'art. 261 CPC sont réunies. La requête de mesures provisionnelles déposée par la requérante le 1er mars 2024 doit donc être rejetée.</w:t>
      </w:r>
    </w:p>
    <w:p>
      <w:r>
        <w:t>VII. Les frais judiciaires de la présente ordonnance sont arrêtés à 2’912 fr. 80, soit 350 fr. à titre d’émolument des mesures superprovisionnelles (art. 30 du tarif du 28 septembre 2010 des frais judicaires civils ; BLV 270.11.5 ; ci-après : TFJC), 1’500 fr. à titre d’émolument des mesures provisionnelles (art. 28 TFJC) et 1'062 fr. 80 à titre de frais d’audition de témoins (art. 87 ss TFJC). En application des art. 104 al. 1 et 106 al. 1 CPC, ces frais sont mis à la charge de la partie succombante, soit la requérante, qui remboursera aux intimés l’avance de frais qu’ils ont versée à hauteur de 907 fr. 60.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 la requérante, soit 4’500 fr. à titre de défraiement de leur conseil et 225 fr. de débours (art. 6 et 19 TDC). VIII. Le présent jugement, rendu par une instance cantonale unique au sens de l'art. 5 CPC est motivé d'office (Kriech, ZPO-Kommentar, 2e éd., n. 7 ad art. 239 CPC; Steck/Brunner, Basler Kommentar, 3e éd., n. 10 ad art. 239 CPC). * * * * *</w:t>
      </w:r>
    </w:p>
    <w:p>
      <w:r>
        <w:t>Par ces motifs, le juge délégué, statuant à huis clos et par voie de mesures provisionnelles : I. Rejette la requête de mesures provisionnelles déposée le 1er mars 2024 par la requérante Z.________ à l'encontre des intimés X.________ et R.________. II. Arrête les frais de la procédure provisionnelle à 2’912 fr. 80 (deux mille neuf cent douze francs et huitante centimes) pour la requérante. III. Condamne la requérante à verser aux intimés, solidairement entre eux, le montant de 907 fr. 60 (neuf cent sept francs et soixante centimes) à titre de remboursement de leur avance de frais et de 4'725 fr. (quatre mille sept cent vingt-cinq francs), à titre de dépens. Le juge délégué : La greffière : S. Parrone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w:t>
      </w:r>
    </w:p>
    <w:p>
      <w:r>
        <w:t>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