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CM17.002962 vom 14. März 2017</w:t>
      </w:r>
    </w:p>
    <w:p>
      <w:r>
        <w:t>VD Tribunal cantonal, 2017-03-14, FR</w:t>
      </w:r>
    </w:p>
    <w:p>
      <w:r>
        <w:rPr>
          <w:b/>
        </w:rPr>
        <w:t xml:space="preserve">Quelle: </w:t>
      </w:r>
      <w:r>
        <w:t>https://mcp.opencaselaw.ch/entscheid/vd_gerichte_CM17.002962</w:t>
      </w:r>
    </w:p>
    <w:p>
      <w:r>
        <w:t>FR: VD_GERICHTE CM17.002962 du 14 mars 2017</w:t>
      </w:r>
    </w:p>
    <w:p>
      <w:r>
        <w:t>IT: VD_GERICHTE CM17.002962 del 14 marzo 2017</w:t>
      </w:r>
    </w:p>
    <w:p>
      <w:pPr>
        <w:pStyle w:val="Heading2"/>
      </w:pPr>
      <w:r>
        <w:t>Erwägungen</w:t>
      </w:r>
    </w:p>
    <w:p>
      <w:r>
        <w:rPr>
          <w:b/>
        </w:rPr>
        <w:t>E. 26</w:t>
      </w:r>
    </w:p>
    <w:p>
      <w:r>
        <w:t>avril 1970 et pour la France depuis le 12 août 1975. Selon cette Convention, les pays auxquels elle s’applique sont constitués à l’état d’Union pour la protection de la propriété industrielle (art. 1 ch. 1 CUP). Les ressortissants de chacun des pays de l’Union jouissent dans tous les autres pays de l’Union, en ce qui concerne la protection de la propriété industrielle, des avantages que les lois respectives accordent aux nationaux. En conséquence, ils ont la même protection que ceux-ci et le même recours légal contre toute atteinte portée à leurs droits (art. 2 ch. 1 CUP) ; aucune condition de domicile ou d’établissement dans le pays où la protection est réclamée ne peut être exigée des ressortissants de l’Union pour la jouissance d’aucun des droits de propriété industrielle (art. 2 ch. 2 CUP). En vertu de l’art. 8 CUP, le nom commercial est protégé dans tous les pays de l’union sans obligation de dépôt ou d’enregistrement, qu’il fasse ou non partie d’une marque de fabrique ou de commerce. L’art. 10 ch. 1 CUP prévoit, quant à lui, que les pays de l’Union sont tenus d’assurer aux ressortissants de l’Union une protection effective contre la concurrence déloyale ; doivent notamment être interdits tous faits quelconques de nature à créer une confusion par n’importe quel moyen avec l’établissement, les produits ou l’activité industrielle ou commerciale d’un concurrent (art. 10 ch. 3.1 CUP).</w:t>
      </w:r>
    </w:p>
    <w:p>
      <w:r>
        <w:t>- 13 - L’art. 8 CUP n’offre pas une protection absolue au nom commercial. En vertu du principe du traitement national figurant à l’art. 2 CUP, les Etats s’engagent seulement, selon le Tribunal fédéral, à accorder la même protection à un nom commercial étranger que celle octroyée aux noms commerciaux nationaux. Or, en droit suisse, lorsqu’une entreprise n’est pas inscrite au registre du commerce suisse, sa désignation n’est protégée qu’à la condition que son droit au nom ait été atteint (art. 29 al. 2 CC) ou en présence d’un acte de concurrence déloyale (TF 4A_92/2011 du 9 juin 2011 consid. 5.1 ; TF 4A_253/2008 du 14 octobre 2008 consid. 5.1, publié in Sic ! 2009 p. 268 ; ATF 114 II 106, consid. 2). Le Tribunal fédéral a également considéré que la protection de la raison de commerce non inscrite est limitée au rayon de l'activité commerciale du titulaire. Le nom commercial doit être connu en Suisse lors de l'usurpation critiquée, en particulier parce qu'il y a été utilisé en affaires dans une mesure notable (Gebrauchsaufnahme im Inland; ATF 91 II 117 consid. I/1 p. 123; arrêt précité du 14 octobre 2008 consid. 5.1; Bühler, in Basler Kommentar, Zivilgesetzbuch I, 4e éd., 2010, n. 17 ad art. 29 CC). Il n'est pas nécessaire que le titulaire du nom commercial l'ait utilisé lui-même dans l'État concerné; un usage par une filiale ou même une succursale suffit (cf. Fezer, Markenrecht, 4e éd., 2009, Munich, n. 3 ad art. 9 CUP). On peut se demander toutefois si, puisqu’en vertu de la CUP (art. 2 ch. 1 et 8), le nom commercial d’une entreprise en France est protégé de la même manière qu’un nom commercial suisse, indépendamment de l’inscription du premier au Registre du commerce, l’art. 956 CO (Code suisse des obligations du 31 mars 1911 ; RS 220) ne devrait pas être applicable. Selon cette disposition, dès que la raison de commerce d’un particulier, d’une société commerciale ou d’une société coopérative a été inscrite sur le registre et publiée par la Feuille officielle suisse du commerce, l’ayant droit en a l’usage exclusif (al. 1) ; celui qui subit un préjudice du fait de l’usage indu d’une raison de commerce peut demander au juge d’y mettre fin, et, s’il y a faute, réclamer des dommages-intérêts (al. 2). Est prohibée, selon cette disposition, non seulement l’usage d’une raison de commerce identique à celle dont le titulaire a le droit exclusif, mais aussi l’utilisation d’une raison semblable,</w:t>
      </w:r>
    </w:p>
    <w:p>
      <w:r>
        <w:t>- 14 - qui ne se différencie pas suffisamment de celle inscrite au point de créer un risque de confusion. Constitue un usage à titre de raison de commerce toute utilisation du signe distinctif qui se trouve en relation immédiate avec l’activité commerciale, soit sur une enseigne, du papier d’affaires (catalogues, par exemple), des listes de prix, prospectus, ou dans des répertoires d’adresses ou annuaires téléphoniques (ATF 131 III 572). La jurisprudence précitée du Tribunal fédéral semble toutefois exclure cette application. A tout le moins devrait-on considérer, toutefois, en vertu du principe de la même protection accordée à un nom commercial étranger que celle octroyée aux noms commerciaux nationaux, qu’un nom commercial inscrit dans un registre officiel de son pays – ce qui est le cas en l’espèce – devrait bénéficier en Suisse de la protection de l’art. 956 CO. On peut également se demander si l’exigence posée par la jurisprudence fédérale, selon laquelle la protection assurée par la CUP se limiterait au cas où l’entreprise demanderesse non inscrite aurait une certaine activité en Suisse, est bien applicable à une société inscrite dans un pays partie à la CUP, la condition d’une activité dans l’autre pays membre de l’Union ne figurant pas dans ladite convention. b) Quoi qu’il en soit de ce qui précède, l’art. 29 CC, qui vise un cas particulier de la protection générale de la personnalité, est applicable au nom des personnes morales de droit privé et de droit public (ATF 128 III 401, JdT 2002 I 509), et en particulier au nom commercial d’une entreprise étrangère non inscrite au Registre du commerce suisse (ATF 90 II 315, JdT 1978 I 250).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w:t>
      </w:r>
    </w:p>
    <w:p>
      <w:r>
        <w:t>- 15 -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(TF 4A_92/2011 précité ; ATF 128 III 353 consid. 4 pp. 358 ss et les arrêts cités). c) L'art. 3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w:t>
      </w:r>
    </w:p>
    <w:p>
      <w:r>
        <w:t>- 16 -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 ATF 131 III 572). En cas de collision entre divers droits, il convient de peser les intérêts en présence, afin de parvenir à la solution la plus équitable possible (ATF 128 III 353 consid. 3 p. 358; ATF 126 III 239 consid. 2c p. 245; ATF 125 III 91 consid. 3c p. 93 et les arrêts cités).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pp. 226 ss).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 l'entreprise (TF 4C.197/2003</w:t>
      </w:r>
    </w:p>
    <w:p>
      <w:r>
        <w:t>- 17 -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d) aa) En l’espèce, il convient d’examiner en premier lieu si la requérante a une activité suffisante en Suisse pour justifier l’application de la CUP, conformément à la jurisprudence précitée. Si l’activité de la requérante n’apparaît pas avoir été extrêmement importante, il y a lieu de relever qu’elle est récente. En effet, ce n’est que depuis la fin des années 2000 qu’elle a commencé à acquérir des participations dans le capital de quelques sociétés suisses et elle dispose d’un conseiller pour la Suisse que depuis 2013. Il est difficile de poser un critère quantitatif, mais il y a lieu de ne pas se montrer trop</w:t>
      </w:r>
    </w:p>
    <w:p>
      <w:r>
        <w:t>- 18 - exigeant, faute de quoi on limiterait indûment l’application de la CUP. L’activité récente de la requérante en Suisse est ainsi suffisante pour justifier l’application de ladite convention. Le nom commercial de la requérante est « I.________ ». Le signe distinctif de ce nom est clairement « [...] », l’adjonction « [...] » étant d’une extrême banalité. Il ne s’agit pas d’un nom de pure fantaisie, puisqu’il se réfère au nom d’une rue de [...] et à un patronyme français, qui a lui-même donné son nom à cette rue. Il n’en demeure pas moins que ce patronyme est rare, fort peu connu de nos jours, et que la rue de [...] n’est pas suffisamment connue du grand public pour que le nom perde son caractère distinctif. En définitive, le nom « [...] » possède une force distinctive tout à fait nette, sur laquelle une adjonction banale telle que « [...] » n’a pratiquement aucun effet. Or, l’intimée porte exactement le même nom, sans aucune adjonction distinctive. Dans ces conditions, le risque de confusion au sens de l’art. 3 LCD – notion qui comme on l’a vu, est identique dans l'ensemble du droit des biens immatériels – est clairement réalisé, et on doit considérer que l’usage de ce nom constitue bien un comportement déloyal au sens de l’art. 2 LCD, ainsi qu’une usurpation au sens de l’art. 29 al. 2 CC. L’examen des intérêts des parties ne conduit pas à une autre solution. L’intimée n’a aucun rapport quelconque avec le nom « [...] ». Son propriétaire économique fait uniquement valoir que [...] a installé ses bureaux dans la rue [...] à [...]. Toutefois, si l’intimée s’occupe, apparemment, notamment d’architecture, elle n’a pas d’autre lien avec [...]. On remarquera d’ailleurs que le fait que [...] ait été actif dans cette rue de [...] est fort peu connu du grand public. bb) Il convient de déterminer en second lieu si des mesures provisionnelles sont justifiées. En matière de concurrence déloyale, comme on l’a vu, le requérant doit, si l’atteinte illicite n’a pas encore eu lieu, rendre vraisemblable qu’il risque de faire l’objet, dans un proche avenir, d’une</w:t>
      </w:r>
    </w:p>
    <w:p>
      <w:r>
        <w:t>- 19 - première violation de ses droits. Le dommage est généralement malaisé à déterminer dans ce domaine et on observe fréquemment un dommage de nature immatérielle (atteinte à la réputation, trouble créé sur le marché, etc.). En l’espèce, la violation a déjà eu lieu par l’inscription de la raison sociale de l’intimée au registre du commerce. L’intimée fait valoir que ses activités sont entièrement différentes de celles de la requérante, puisqu’elle exploite uniquement, selon elle, un bureau d’architecture d’intérieur. On ignore toutefois tout de ses activités réelles, et le but social qu’elle s’est donné recouvre des activités beaucoup plus larges, dont certaines – audit, expertises économiques et techniques, négociation et courtage – pourraient laisser croire au public qu’elle est une filiale ou une antenne de la requérante, ce qui entraînerait une perturbation du marché. e) Au vu de ce qui précède, les conditions d’octroi des mesures provisionnelles sont réunies et il y a lieu de faire droit aux conclusions de la requête du 20 janvier 2017. Il convient ainsi d’interdire à l’intimée d’utiliser la raison de commerce Y.________ SA, d’utiliser la dénomination [...] dans sa communication commerciale, y compris dans tout papier à en-tête, prospectus, dépliant, matériel publicitaire, de même que dans toute inscription dans des annuaires, et de lui ordonner de modifier sa raison de commerce, cela dans un délai que l’on fixera à trente jours dès la notification de la présente ordonnance. Il serait en effet disproportionné d’ordonner à l’intimée de changer de nom immédiatement, tant au registre du commerce que dans ses communications. f) Le juge ordonne dans sa décision des mesures d’exécution sur requête de la partie qui a eu gain de cause (art. 236 al. 3 CPC). Selon l’art. 267 CPC, le tribunal qui a ordonné les mesures provisionnelles prend également les dispositions d’exécution qui s’imposent. Lorsque la décision prescrit une obligation de faire, de s’abstenir ou de tolérer, le juge peut notamment assortir sa décision de la menace de la peine prévue à l’art.</w:t>
      </w:r>
    </w:p>
    <w:p>
      <w:r>
        <w:t>- 20 - 292 CP (art. 343 al. 1 let. a CPC) ou prévoir une amende d’ordre de 1'000 fr. au plus par jour d’inexécution (art. 343 al. 1 let. c CPC). En l’espèce, la requérante demande qu’il soit fait application tant de l’art. 343 al. 1 let. a CPC que de la lettre c de cette disposition. On ne voit guère toutefois que ces mesures devraient se cumuler. La commination de la peine de l’art. 292 CP est davantage adaptée à une obligation de s’abstenir, alors que l’amende d’ordre de l’art. 343 al. 1 let. c CPC a été conçue en premier lieu pour les décisions comportant une obligation de faire (Bohnet, CPC annoté, n. 5 ad art. 343 CPC et la référence citée). Il convient dès lors d’assortir l’ordre de modification de la raison de commerce de l’intimée d’une amende d’ordre, alors que l’interdiction d’utiliser la dénomination [...] sera assortie de la commination de la peine de l’art. 292 CP. Au vu de la valeur litigieuse, l’amende d’ordre sera fixée à 500 francs. V.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A teneur de l'art. 28 du tarif du 28 septembre 2010 des frais judiciaires civils (TFJC ;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il se justifie d’arrêter les frais à 2'500 francs. b) Obtenant gain de cause, la requérante a droit à de pleins dépens, à la charge de l’intimée, qu’il convient d'arrêter à 7’750 fr., soit 5’000 fr. à titre de participation aux honoraires de son conseil, 250 fr. pour</w:t>
      </w:r>
    </w:p>
    <w:p>
      <w:r>
        <w:t>- 21 - les débours de celui-ci et 2’500 fr. en remboursement de son coupon de justice. VI. Les décisions prises en instance cantonale unique selon les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Tappy, in Bohnet/Haldy/Jeandin/Schweizer/Tappy, Code de procédure civile commenté, nn. 24-25 ad art. 239 CPC, p. 930). La présente ordonnance est dès lors motivée d'office. Par ces motifs, le juge délégué, statuant à huis clos et par voie de mesures provisionnelles : I. Interdit à l’intimée Y.________ SA, sous la menace faite à ses organes de la peine prévue à l’art. 292 CP, d’utiliser, dès l’échéance d’un délai de trente jours dès notification de la présente ordonnance, la raison de commerce Y.________ SA ; II. Interdit à l’intimée, sous la menace faite à ses organes de la peine prévue à l’art. 292 CP, d’utiliser, dès l’échéance d’un délai de trente jours dès notification de la présente ordonnance, la dénomination [...] dans sa communication commerciale, y compris dans tout papier à en-tête,</w:t>
      </w:r>
    </w:p>
    <w:p>
      <w:r>
        <w:t>- 22 - prospectus, dépliant, matériel publicitaire, de même que dans toute inscription dans des annuaires ; III. Ordonne à l’intimée de modifier sa raison de commerce de telle sorte qu’elle ne contienne plus la dénomination [...], dans un délai de trente jours dès notification de la présente ordonnance ; IV. Dit que l’intimée devra payer une amende d’ordre de 500 fr. (cinq cents francs) par jour d’inexécution de l’injonction figurant sous chiffre III ci-dessus. V. Fixe à la requérante I.________ un délai de trente jours dès la notification de la présente ordonnance pour déposer une demande au fond, sous peine de caducité des présentes mesures provisionnelles. VI. Met les frais judiciaires de la procédure provisionnelle, arrêtés à 2'500 fr. (deux mille cinq cents francs), à la charge de la requérante. VII. Condamne l’intimée à verser à la requérante le montant de 7’750 fr. (sept mille sept cent cinquante francs) à titre de dépens et de restitution d'avance de frais. VIII. Déclare la présente ordonnance immédiatement exécutoire. IX. Rejette toutes autres ou plus amples conclusions. Le juge délégué : Le greffier : P. Hack M. Bron</w:t>
      </w:r>
    </w:p>
    <w:p>
      <w:r>
        <w:t>- 23 -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