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CM10.024420 vom 26. August 2010</w:t>
      </w:r>
    </w:p>
    <w:p>
      <w:r>
        <w:t>VD Tribunal cantonal, 2010-08-26, FR</w:t>
      </w:r>
    </w:p>
    <w:p>
      <w:r>
        <w:rPr>
          <w:b/>
        </w:rPr>
        <w:t xml:space="preserve">Quelle: </w:t>
      </w:r>
      <w:r>
        <w:t>https://mcp.opencaselaw.ch/entscheid/vd_gerichte_CM10.024420</w:t>
      </w:r>
    </w:p>
    <w:p>
      <w:r>
        <w:t>FR: VD_GERICHTE CM10.024420 du 26 août 2010</w:t>
      </w:r>
    </w:p>
    <w:p>
      <w:r>
        <w:t>IT: VD_GERICHTE CM10.024420 del 26 agosto 2010</w:t>
      </w:r>
    </w:p>
    <w:p>
      <w:pPr>
        <w:pStyle w:val="Heading2"/>
      </w:pPr>
      <w:r>
        <w:t>Erwägungen</w:t>
      </w:r>
    </w:p>
    <w:p>
      <w:r>
        <w:rPr>
          <w:b/>
        </w:rPr>
        <w:t>E. 2</w:t>
      </w:r>
    </w:p>
    <w:p>
      <w:r>
        <w:t>CO reste valable dans la mesure où elle n'excède pas la limite</w:t>
      </w:r>
    </w:p>
    <w:p>
      <w:r>
        <w:t>- 20 - admissible en temps (SJ 1989 p. 683) et en lieu (JT 1982 I 170). Plus la clause est limitée dans son contenu – objet et étendue géographique et temporelle – mieux elle sera protégée (Wyler, op. cit., pp. 610 s. et les références citées; Favre/Munoz/Tobler, op. cit., n. 1.1. ad art. 340a CO). En tout état de cause, une prohibition de faire concurrence qui contraindrait le travailleur à changer de profession est sans valeur. Une telle obligation compromettrait en effet l'avenir économique du travailleur contrairement à l'équité, ce que la loi défend (ATF 101 II 277). En cas de doute, il convient de trancher en faveur du travailleur (Tercier/Favre/Eigenmann, Les contrats spéciaux, 4e éd., Genève/Zurich/Bâle 2009,s n. 3852 et les références citées). b) En l'espèce, la clause de prohibition de faire concurrence porte, pour une durée conforme à la loi, sur les activités concurrentes à celles du groupe G.________/J.________. Elle interdit par conséquent à l'intimé d'oeuvrer après la fin des rapports de travail non seulement dans le domaine de l'assainissement mais également dans ceux de la construction, maçonnerie, peinture, construction métallique, rénovation, aménagement intérieur et décoration de locaux. La prohibition couvre donc la plupart des métiers du bâtiment et, en particulier, ceux dans lesquels l'intimé bénéficie d'une formation. Géographiquement, l'interdiction s'étend à la région définie dans la description d'emploi annexée au contrat de travail entré en vigueur le 1er janvier 2006, à savoir les cantons de Berne, Genève, Fribourg, Jura, Neuchâtel, Vaud et Valais, soit tous les cantons qui non seulement sont au moins partiellement francophones, mais se trouvent à distance raisonnable du lieu de domicile de l'intimé. Pour se conformer à ces restrictions, l'intimé serait ainsi astreint à travailler dans un canton germanophone, cas échéant éloigné de son domicile, voire à se rendre à l'étranger pour pouvoir déployer une activité lucrative correspondant à l'une de ses formations. Vu les activités visées et compte tenu - de surcroît - de son champ d'application géographique, la clause de prohibition de faire</w:t>
      </w:r>
    </w:p>
    <w:p>
      <w:r>
        <w:t>- 21 - concurrence a pour effet de contraindre l'intimé à changer de profession. Elle apparaît par conséquent excessive au regard de l'art. 340a CO. La question de savoir si cette clause pourrait ou devrait, en vertu de l'art. 340a al. 2 CO et compte tenu des conclusions des parties (art. 3 CPC), être réduite au stade des mesures provisionnelles - cas échéant dans quelle mesure - ou si son caractère excessif suffit à priver de fondement la requête de mesures provisionnelles peut demeurer ouverte en l'espèce, le sort de la requête de mesures provisionnelles n'en dépendant pas. c) Par identité de motifs, la question de l'existence d'une violation crasse de la clause de prohibition de faire concurrence (Wyler, op. cit., p. 613), dans la mesure de son éventuelle validité, n'a pas à être approfondie. VI. a)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(ATF 101 Ia 450; JAR 1994 p. 227; SJ 1989 p. 683).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(ATF 91 II 372 c. 5, JT 1966 I 322; Tercier/Favre/Eigenmann, op. cit., n. 3842 et les arrêts cités; Wyler, op. cit., pp. 598 s.). La preuve du cercle de la clientèle constitutive de la valeur de l'entreprise incombe à l'employeur (Favre/Munoz/Tobler, op. cit., n. 2.10 ad art. 340 CO). Pour</w:t>
      </w:r>
    </w:p>
    <w:p>
      <w:r>
        <w:t>- 22 -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faire concurrence est valide si la position et les activités du travailleur lui permettent d'entretenir des relations personnelles avec les clients, de découvrir leurs particularités, leurs besoins, la possibilité de leur faire crédit et la marche de leurs affaires (ATF 91 II 372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(Tercier/Favre/Eigenmann, op. cit., nn. 3844 s.).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Lausanne 1998, n. 26 ad art. 340 CO). L'art. 340 al. 2 CO n'exige pas la preuve d'un dommage effectif (Wyler, op. cit., p. 600); il suffit qu'il soit possible selon le cours ordinaire des choses et l'expérience générale de la vie. Le juge se contentera donc d'examiner et d'apprécier - au degré de vraisemblance élevé applicable en matière de mesures provisionnelles - la probabilité de survenance d'un pareil dommage. Le moment déterminant pour en juger est celui où l'interdiction doit produire ses effets et non celui de la conclusion du contrat de travail (Tercier/Favre/Eigenmann, op. cit., n. 3847). La possibilité d'un préjudice sensible doit être admise lorsque le travailleur, grâce aux connaissances acquises, débauche la clientèle de son ancien employeur ou lui cause des difficultés sérieuses par l'exploitation de particularités techniques ou commerciales que celui-ci ne veut pas dévoiler (ATF 91 II 372).</w:t>
      </w:r>
    </w:p>
    <w:p>
      <w:r>
        <w:t>- 23 - b) En l'espèce, l'intimé, en sa qualité de chef d'intervention, entretenait des contacts professionnels avec les personnes qui, au nom et pour le compte des compagnies d'assurance, font appel aux services de la requérante en cas de sinistres. Contrairement à ce que soutient l'intimé, les compagnies d'assurance font partie de la clientèle de la requérante, au sens de l'art. 340 al. 2 CO. Il n'est en effet pas contesté que les assureurs contribuent à son chiffre d'affaires, en lui signalant des occasions d'intervenir et en les facilitant : il est plausible que, comme l'explique la requérante, dans la plupart des cas sinon tous, l'assuré sinistré chargera l'entreprise spécialisée dépêchée en urgence par son assureur d'exécuter les travaux nécessaires. Peu importe, de ce point de vue, que le contrat soit passé entre la requérante et le sinistré. Sur le plan économique, il est indéniable que les assureurs sont des interlocuteurs bien plus importants pour la requérante (offre continuelle de chantier) que les sinistrés (consommation unique, voire occasionnelle, de prestations). S'agissant des secrets d'affaires, on doit retenir, sur la base notamment de la déposition du témoin N.________, corroborée par le cahier des charges de l'intimé, que celui-ci avait connaissance des méthodes et politiques commerciales de la requérante, ainsi que de ses techniques d'organisation et de marketing. c) L'utilisation par l'intimé de sa connaissance de la clientèle et des secrets d'affaires de la requérante est de nature, sur le principe, à causer un préjudice à la requérante. En effet, une personne ayant les connaissances et l'expérience de l'intimé est à même, pour autant qu'il dispose de l'infrastructure nécessaire (matériel, produits chimiques, etc.), d'obtenir d'assureurs qu'ils lui signalent des chantiers objet de sinistres en vue d'intervention, au lieu d'en avertir la requérante. En revanche, la requérante ne rend pas du tout vraisemblable le caractère sensible de ce préjudice potentiel. Elle s'est en effet refusée, en cours d'instruction, à dévoiler son chiffre d'affaires.</w:t>
      </w:r>
    </w:p>
    <w:p>
      <w:r>
        <w:t>- 24 - Cela rend en toute logique impossible de vérifier si le préjudice dont la clause de prohibition de faire concurrence entend empêcher la survenance serait important au regard du chiffre d'affaires de la requérante. Dans ces circonstances, la validité matérielle de la clause de prohibition de faire concurrence, au regard de l'art. 340 al. 2 CO, n'est pas rendue vraisemblable, ce qui entraîne le rejet des conclusions provisionnelles, en tant qu'elles sont fondées sur l'art. 340b CO. VII. a) L'art. 340b al. 3 CO exige que l'employeur qui entend obtenir la cessation effective de la contravention à la prohibition de faire concurrence démontre - au degré élevé de vraisemblance requis - que l'importance de ses intérêts lésés ou menacés justifie cette mesure. Vu le risque de lésion grave aux intérêts personnels et économiques, voire même vitaux, du travailleur, l'action en cessation de ce comportement constitue en effet un moyen de droit exceptionnel (JICCiv, 23 juin 2000, n° 270/2000/PMU; SJ 1982 p. 330, spéc. note de Schmidt, p. 334). Ainsi, selon une partie de la doctrine, le risque d'un dommage doit être tel qu'il puisse mettre en péril la prospérité ou l'existence de l'entreprise. Le Tribunal fédéral, dans un arrêt paru aux ATF 103 II 120, a réfuté cette manière de voir. Sa jurisprudence actuelle aboutit à la conclusion que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 3.2 et les références citées). En définitive, il résulte de la jurisprudence fédérale, que l'exécution réelle est une ultima ratio, qui ne sera ordonnée que lorsqu'il</w:t>
      </w:r>
    </w:p>
    <w:p>
      <w:r>
        <w:t>- 25 - serait manifestement injuste de contraindre l'employeur à se satisfaire de la possibilité de demander des dommages-intérêts, le doute, dans la pesée des intérêts en présence, devant profiter au travailleur (Wyler, op. cit., p. 613; Tercier/Favre/Eigenmann, op. cit., n. 3856). b) En l'espèce, l'intimé exerce, au service de H.________ Sàrl, une activité concurrente à celle de la requérante. Il contrevient par conséquent à la prohibition de faire concurrence stipulée, dans la mesure du moins où l'on admet la validité partielle de la clause excessive qui l'institue (cf. supra V/b). Comme déjà exposé (cf. supra VI/c), la requérante s'est refusée à dévoiler son chiffre d'affaires. Elle n'a pas non plus apporté d'éléments concrets permettant de chiffrer ou même d'estimer la baisse du chiffre d'affaires qu'elle aurait subi depuis le départ de l'intimé, ni fourni ne serait-ce que des indices de l'évolution de cette baisse dans les mois à venir. Autrement dit, la requérante ne rend pas du tout vraisemblable que ses intérêts seraient lésés ou menacés par l'activité du demandeur, contrairement à ce qu'exige l'art. 340b al. 3 CO. Dans ces conditions, la pesée des intérêts en présence conduit, à l'évidence, à constater que les conditions d'octroi de cette ultima ratio qu'est l'exécution réelle ne sont - de loin - pas réunies en l'espèce. Il s'ensuit que les conclusions provisionnelles doivent être rejetées, en tant qu'elles sont fondées sur l'art. 340b CO. VIII. a) La requérante fonde également ses conclusions provisionnelles sur la LCD.</w:t>
      </w:r>
    </w:p>
    <w:p>
      <w:r>
        <w:t>- 26 - Selon l'art. 9 al. 1 LCD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ou d'en constater le caractère illicite, si le trouble qu'elle a créé subsiste. En l'espèce, il n'est pas nécessaire de procéder à un examen détaillé de l'existence d'une violation des prescriptions de cette loi par l'intimé. Il suffit de constater : primo qu'aucun élément probant n'indique que l'intimé aurait incité un client de la requérante, en particulier un assureur, à rompre un contrat conclu avec elle, ce qui exclut l'application de l'art. 4 let. a LCD (ATF 133 III 431 c. 4.5, JT 2008 I 34); secundo, qu'il résulte de l'instruction que l'intimé a eu connaissance de tout ce qui pourrait en l'espèce revêtir la qualification de secret d'affaires au sens de l'art. 6 LCD dans le cadre de ses rapports de travail et non pas d'une manière indue, ce qui exclut l'application de cette disposition (ATF 133 III 431 c. 4.5, JT 2008 I 34); tertio, que le comportement de l'intimé n'apparaît pas déloyal au sens de l'art. 2 LCD, dès lors que la requérante échoue à rendre même simplement vraisemblable que l'intimé aurait violé les règles de la bonne foi en concurrence en rapport avec son intervention, pour H.________ Sàrl, sur quelques chantiers. Le fait que l'intimé ait, apparemment à une occasion, employé du matériel appartenant à la requérante ne suffit pas à retenir le contraire, cette utilisation n'apparaissent pas susceptible d'influencer la concurrence ou le fonctionnement du marché de manière pertinente au regard de la clause générale (ATF 133 III 431 c. 4.1, JT 2008 I 34). b) Quoiqu'il en soit, l'art. 28c CC n'ouvre la voie des mesures provisionnelles qu'à celui qui rend vraisemblable, non seulement qu'il est objet d'une atteinte illicite, imminente ou actuelle, mais également que cette atteinte risque de lui causer un préjudice difficilement réparable (cf. supra III/a). Or, comme déjà exposé, la requérante ne rend pas vraisemblable l'existence d'un dommage difficilement réparable.</w:t>
      </w:r>
    </w:p>
    <w:p>
      <w:r>
        <w:t>- 27 - Pour la même raison, il n'est pas possible de procéder à l'examen du respect du principe de la proportionnalité, généralement applicable en matière de mesures provisionnelles, et auquel le juge a l'obligation de procéder : il lui incombe de mettre en balance les intérêts contradictoires des parties et d'apprécier les désavantages respectifs pour le requérant et pour l'intimé, selon que la mesure requise est ordonnée ou refusée (ATF 131 III 473 c. 2.3; Schlosser, op. cit., pp. 350ss). La requérante en supporte les conséquences (art. 8 CC) et l'intérêt de l'intimé à exercer une activité professionnelle dans l'un de ses domaines de formation ne peut que l'emporter sur ceux, éventuels, de son adverse partie. C'est ainsi en vain que la requérante invoque concurremment la LCD et les conclusions I à III de sa requête doivent également être rejetées en tant qu'elles sont fondées sur cette loi. Quant à la conclusion IV, il ne ressort pas de l'instruction que l'intimé serait encore en possession de matériel, de documents ou supports de données, partant de données confidentielles. Il n'y dès lors pas non plus lieu d'y faire droit. La requête de mesures provisionnelles du 29 juillet 2010 doit en conclusion être intégralement rejetée. IX.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doivent être arrêtés à 2'692 fr. 50 pour la requérante et à 212 fr. 50 pour l'intimé. Conformément à l'art. 109 al. 1 CPC-VD, le juge règle les dépens dans l'ordonnance. En l'espèce, l'intimé obtient entièrement gain de cause et a droit à des dépens de la procédure provisionnelle, qu'il se</w:t>
      </w:r>
    </w:p>
    <w:p>
      <w:r>
        <w:t>- 28 - justifie de fixer à 4'212 fr. 50, à la charge de la requérante (cf. art. 92 al. 1 CPC-VD). Par ces motifs, le juge instructeur, statuant à huis clos et par voie de mesures provisionnelles : I. Rejette la requête de mesures provisionnelles déposée le 29 juillet 2010 par la requérante J.________ SA contre l'intimé X.________. II. Arrête les frais de la procédure provisionnelle à 2'692 fr. 50 (deux mille six cent nonante-deux francs et cinquante centimes) pour la requérante et à 212 fr. 50 (deux cent douze francs et cinquante centimes) pour l'intimé. III. Condamne la requérante à verser à l'intimé le montant de 4'212 fr. 50 (quatre mille deux cent douze francs et cinquante centimes) à titre de dépens de la procédure provisionnelle. Le juge instructeur : Le greffier : P. Muller J. Greuter Du L'ordonnance qui précède, dont le dispositif a été expédié pour notification aux parties le 6 septembre 2010, lue et approuvée à huis clos, est notifiée, par l'envoi de photocopies, aux conseils des parties.</w:t>
      </w:r>
    </w:p>
    <w:p>
      <w:r>
        <w:t>- 29 -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