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CF17.015617 vom 6. Juni 2017</w:t>
      </w:r>
    </w:p>
    <w:p>
      <w:r>
        <w:t>VD Tribunal cantonal, 2017-06-06, FR</w:t>
      </w:r>
    </w:p>
    <w:p>
      <w:r>
        <w:rPr>
          <w:b/>
        </w:rPr>
        <w:t xml:space="preserve">Quelle: </w:t>
      </w:r>
      <w:r>
        <w:t>https://mcp.opencaselaw.ch/entscheid/vd_gerichte_CF17.015617</w:t>
      </w:r>
    </w:p>
    <w:p>
      <w:r>
        <w:t>FR: VD_GERICHTE CF17.015617 du 6 juin 2017</w:t>
      </w:r>
    </w:p>
    <w:p>
      <w:r>
        <w:t>IT: VD_GERICHTE CF17.015617 del 6 giugno 2017</w:t>
      </w:r>
    </w:p>
    <w:p>
      <w:pPr>
        <w:pStyle w:val="Heading2"/>
      </w:pPr>
      <w:r>
        <w:t>Erwägungen</w:t>
      </w:r>
    </w:p>
    <w:p>
      <w:r>
        <w:rPr>
          <w:b/>
        </w:rPr>
        <w:t>E. 1</w:t>
      </w:r>
    </w:p>
    <w:p>
      <w:r>
        <w:t>Par décision du 11 avril 2017, envoyée pour notification le 12 avril suivant, la Présidente du Tribunal d’arrondissement de l’Est vaudois a accordé à J.________ dans la cause en fixation de la contribution d’entretien et des droits parentaux qui l’oppose à L.________, le bénéfice de l’assistance judiciaire avec effet au 10 avril 2017 (I), a dit que le bénéfice de l’assistance judiciaire était accordé dans la mesure de l’exonération d’avances, de l’exonération de frais judiciaires et de l’assistance d’un conseil d’office en la personne de Me Romain Kramer (II) et a dit qu’J.________ paierait une franchise mensuelle de 50 fr., dès et y compris le 1er mai 2017, à verser auprès du Service juridique et législatif (III).</w:t>
      </w:r>
    </w:p>
    <w:p>
      <w:r>
        <w:rPr>
          <w:b/>
        </w:rPr>
        <w:t>E. 2</w:t>
      </w:r>
    </w:p>
    <w:p>
      <w:r>
        <w:t>Par courrier du 8 mai 2017, J.________ a formé recours contestant l’octroi seulement partiel de l’assistance judiciaire.</w:t>
      </w:r>
    </w:p>
    <w:p>
      <w:r>
        <w:rPr>
          <w:b/>
        </w:rPr>
        <w:t>E. 3</w:t>
      </w:r>
    </w:p>
    <w:p>
      <w:r>
        <w:t>CPC). Ayant été déposé le 8 mai 2017, le recours est manifestement tardif et doit être déclaré irrecevable selon le mode procédural de l'art. 322 al. 1 CPC.</w:t>
      </w:r>
    </w:p>
    <w:p>
      <w:r>
        <w:t>- 3 -</w:t>
      </w:r>
    </w:p>
    <w:p>
      <w:r>
        <w:rPr>
          <w:b/>
        </w:rPr>
        <w:t>E. 3.1</w:t>
      </w:r>
    </w:p>
    <w:p>
      <w:r>
        <w:t>L’art. 121 CPC (Code de procédure civile du 19 décembre 2008 ; RS 272) ouvre la voie du recours de l’art. 319 let. b ch. 1 CPC contre les décisions refusant ou retirant totalement ou partiellement l’assistance judiciaire. S’agissant d’une cause soumise à la procédure sommaire (art. 119 al. 3 CPC), le délai de recours est de dix jours (art. 321 al. 2 CPC).</w:t>
      </w:r>
    </w:p>
    <w:p>
      <w:r>
        <w:rPr>
          <w:b/>
        </w:rPr>
        <w:t>E. 3.2</w:t>
      </w:r>
    </w:p>
    <w:p>
      <w:r>
        <w:t>En l’espèce, la décision attaquée – qui mentionnait expressément, conformément à l’art. 145 al. 3 CPC, que le délai de dix jours pour recourir n’était pas suspendu par les féries (art. 145 al. 2. let. b CPC) − a été notifiée à la recourante le 12 avril 2017. Le délai a ainsi commencé à courir le lendemain pour échoir le 24 avril 2017 (art. 142 al.</w:t>
      </w:r>
    </w:p>
    <w:p>
      <w:r>
        <w:rPr>
          <w:b/>
        </w:rPr>
        <w:t>E. 4</w:t>
      </w:r>
    </w:p>
    <w:p>
      <w:r>
        <w:t>Compte tenu de ce qui précède, les moyens invoqués par J.________ dans son recours ne seront pas examinés plus avant. En vertu de l’art. 11 TFJC (tarif des frais judiciaires civils du 28 septembre 2010, RSV 270.11.5), il ne sera pas perçu de frais judiciaires de deuxième instance.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J.________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