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CC22.013374 vom 22. Februar 2023</w:t>
      </w:r>
    </w:p>
    <w:p>
      <w:r>
        <w:t>VD Tribunal cantonal, 2023-02-22, FR</w:t>
      </w:r>
    </w:p>
    <w:p>
      <w:r>
        <w:rPr>
          <w:b/>
        </w:rPr>
        <w:t xml:space="preserve">Quelle: </w:t>
      </w:r>
      <w:r>
        <w:t>https://mcp.opencaselaw.ch/entscheid/vd_gerichte_CC22.013374</w:t>
      </w:r>
    </w:p>
    <w:p>
      <w:r>
        <w:t>FR: VD_GERICHTE CC22.013374 du 22 février 2023</w:t>
      </w:r>
    </w:p>
    <w:p>
      <w:r>
        <w:t>IT: VD_GERICHTE CC22.013374 del 22 febbraio 2023</w:t>
      </w:r>
    </w:p>
    <w:p>
      <w:pPr>
        <w:pStyle w:val="Heading2"/>
      </w:pPr>
      <w:r>
        <w:t>Erwägungen</w:t>
      </w:r>
    </w:p>
    <w:p>
      <w:r>
        <w:rPr>
          <w:b/>
        </w:rPr>
        <w:t>E. 3.1</w:t>
      </w:r>
    </w:p>
    <w:p>
      <w:r>
        <w:t>Le recourant considère en substance que la LMCFA, qu’il qualifie de loi inique et anticonstitutionnelle, ne ferait pas obstacle à l’action en responsabilité qu’il entend engager contre l’Etat de Vaud. Il</w:t>
      </w:r>
    </w:p>
    <w:p>
      <w:r>
        <w:t>- 6 - souligne encore que les crimes commis et dont il dit avoir été victime seraient imprescriptibles.</w:t>
      </w:r>
    </w:p>
    <w:p>
      <w:r>
        <w:rPr>
          <w:b/>
        </w:rPr>
        <w:t>E. 3.2.1</w:t>
      </w:r>
    </w:p>
    <w:p>
      <w:r>
        <w:t>Selon la jurisprudence du Tribunal fédéral, qui conserve sa pertinence sous l'empire de l'art 117 CPC (ATF 138 III 217 consid. 2.2.4 ; TF 5D_171/2020 du 28 octobre 2020 consid. 3.1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TF 5D_171/2020 du 28 octobre 2020 consid. 3.1).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w:t>
      </w:r>
    </w:p>
    <w:p>
      <w:r>
        <w:t>- 7 - moins équivalentes aux risques qu'il parvienne à la conclusion contraire (TF 5A_241/2022 du 11 juillet 2022 consid. 4.3 ; TF 4A_628/2020 du 16 décembre 2020 consid. 5.1 ; TF 4A_8/2017 du 30 mars 2017 consid. 3.1 ; TF 4A_325/2016 du 19 octobre 2016 consid. 4.2 ; TF 4A_614/2015 du 25 avril 2016 consid. 3.2). Lorsque la requête d'assistance judiciaire est introduite pour la procédure de première instance, le juge ne doit pas se montrer trop strict lorsqu'il apprécie les moyens de preuve offerts par les parties (TF 5A_241/2022 du 11 juillet 2022 consid. 4.2 ; TF 5D_83/2020 du 28 octobre 2020 consid. 5.3.2 ; TF 5A_632/2017 du 15 mai 2018 consid. 5.4, RSPC 2018 p. 369 ; TF 5A_327/2017 du 2 août 2017 consid. 5.2). Plus les questions litigieuses sont complexes et débattues plus on tendra à admettre que le procès n'est pas dépourvu de chances de succès. En particulier, lorsque des questions juridiques épineuses se posent ou lorsque de nombreux éclaircissements sont nécessaires, celles- ci doivent être tranchées par le juge du fond et ne justifient pas un refus de l'assistance judiciaire (TF 5A_842/2011 du 24 février 2012 consid. 5.3, non publié à l’ATF 138 III 217 ; TF 5A_241/2022 du 11 juillet 2022 consid. 4.2 ; TF 5D_83/2020 du 28 octobre 2020 consid. 5.3.2 ; TF 5A_327/2017 du 2 août 2017 consid. 5.2).</w:t>
      </w:r>
    </w:p>
    <w:p>
      <w:r>
        <w:rPr>
          <w:b/>
        </w:rPr>
        <w:t>E. 3.2.2</w:t>
      </w:r>
    </w:p>
    <w:p>
      <w:r>
        <w:t>La LMCFA a été adoptée le 30 septembre 2016 et est entrée en vigueur le 1er avril 2017. Cette loi vise à reconnaître et à réparer l’injustice faite aux victimes des mesures de coercition à des fins d’assistance et des placements extrafamiliaux antérieurs à 1981 en Suisse (art. 1 al. 1). Elle règle notamment la contribution de solidarité en faveur des victimes (art. 1 al. 3) et prévoit à cet égard que les victimes ont toutes droit à une contribution de 25'000 fr. à titre de reconnaissance et de réparation de l’injustice qui leur a été faite (art. 4 al. 1). Le droit à une contribution de solidarité exclut toute autre prétention à indemnisation ou réparation du tort moral, également vis-à-vis des cantons (art. 4 al. 2 ; Message concernant l'initiative populaire « Réparation de l'injustice faite aux enfants placés de force et aux victimes de mesures de coercition</w:t>
      </w:r>
    </w:p>
    <w:p>
      <w:r>
        <w:t>- 8 - prises à des fins d'assistance (initiative sur la réparation) » et son contre- projet indirect [LMCFA], FF 2016 87, p. 110). Par ailleurs, l’art. 20, qui traite de l’extinction de la créance, prévoit que les créances envers une victime ou ses proches dont le motif juridique réside directement dans une mesure de coercition à des fins d’assistance ou dans un placement extrafamilial s’éteignent à l’entrée en vigueur de la présente loi.</w:t>
      </w:r>
    </w:p>
    <w:p>
      <w:r>
        <w:rPr>
          <w:b/>
        </w:rPr>
        <w:t>E. 3.3</w:t>
      </w:r>
    </w:p>
    <w:p>
      <w:r>
        <w:t>En l’espèce, le recourant admet avoir perçu la somme de 25'000 fr. à titre de contribution de solidarité fondée sur la LMCFA, de sorte que cette loi s’applique à la situation du recourant, ce qu’il ne conteste du reste pas. Or, le droit à une contribution fondée sur cette loi exclut toute prétention en réparation du tort moral vis-à-vis de l’Etat de Vaud, et ce même si la somme versée ne permet pas de réparer l’injustice subie (FF 2016 87, p. 103). Au surplus, dès lors que l’action du recourant est postérieure à l’entrée en vigueur de la LMCFA, la créance du recourant est manifestement prescrite conformément à l’art. 20. Par ailleurs, c’est en vain que le recourant plaide l’imprescriptibilité de sa créance. Le recourant n’a pas déposé de plainte pénale et il est douteux que les maltraitances qu’il a subies entrent dans la catégorie des crimes imprescriptibles définis par l’art. 101 CP ([Code pénal suisse du 21 décembre 1937 ; RS 311.0]). Enfin, il ne revient en principe pas au juge, ici patrimonial, de trancher la question de savoir si une loi fédérale viole ou non le droit constitutionnel ou international. Au vu de ces éléments, il apparaît que les chances de succès d’un procès en responsabilité de l’Etat apparaissent notablement moindres que le risque de perdre celui-ci ; elles ne peuvent pas être qualifiées de sérieuses au point qu'une personne disposant des ressources nécessaires, après une analyse raisonnable, entreprendrait une telle démarche. Partant, le refus d’assistance judiciaire prononcé doit être confirmé.</w:t>
      </w:r>
    </w:p>
    <w:p>
      <w:r>
        <w:t>- 9 -</w:t>
      </w:r>
    </w:p>
    <w:p>
      <w:r>
        <w:rPr>
          <w:b/>
        </w:rPr>
        <w:t>E. 4</w:t>
      </w:r>
    </w:p>
    <w:p>
      <w:r>
        <w:t>Il s’ensuit que le recours est manifestement infondé et doit être rejeté conformément à l’art. 322 al. 1 CPC. Les frais judiciaires de deuxième instance seront exceptionnellement laissés à la charge de l’Etat (art. 10 TFJC [tarif des frais judiciaires civils du 28 septembre 2010, BLV 270.11.5]). La requête d’assistance judiciaire doit être rejetée car le recours était dénué de toutes chances de succès (art. 117 let. b CPC), dans la mesure où elle n’est pas sans objet puisqu’il est statué sans frais. Par ces motifs, la Chambre des recours civile du Tribunal cantonal prononce : I. Le recours est rejeté. II. La décision est confirmée. III. La requête d’assistance judiciaire est rejetée. IV. L’arrêt, rendu sans frais, est exécutoire. La présidente : La greffière :</w:t>
      </w:r>
    </w:p>
    <w:p>
      <w:r>
        <w:t>- 10 - Du L'arrêt qui précède, dont la rédaction a été approuvée à huis clos, est notifié à : - Me Jean-Michel Duc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